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DCC46" w14:textId="77777777" w:rsidR="00DA08E4" w:rsidRPr="002F7029" w:rsidRDefault="00593918" w:rsidP="00B821B1">
      <w:pPr>
        <w:pStyle w:val="Heading7"/>
        <w:keepNext w:val="0"/>
        <w:keepLines w:val="0"/>
        <w:rPr>
          <w:rFonts w:eastAsia="Times New Roman"/>
          <w:noProof/>
          <w:lang w:eastAsia="zh-TW"/>
        </w:rPr>
      </w:pPr>
      <w:r w:rsidRPr="002F7029">
        <w:rPr>
          <w:rFonts w:eastAsia="Times New Roman"/>
          <w:noProof/>
        </w:rPr>
        <w:drawing>
          <wp:anchor distT="0" distB="0" distL="114300" distR="114300" simplePos="0" relativeHeight="251669504" behindDoc="1" locked="0" layoutInCell="1" allowOverlap="1" wp14:anchorId="65E85B87" wp14:editId="5F60ED5E">
            <wp:simplePos x="0" y="0"/>
            <wp:positionH relativeFrom="column">
              <wp:posOffset>8255</wp:posOffset>
            </wp:positionH>
            <wp:positionV relativeFrom="paragraph">
              <wp:posOffset>-285115</wp:posOffset>
            </wp:positionV>
            <wp:extent cx="782955" cy="1109345"/>
            <wp:effectExtent l="0" t="0" r="0" b="0"/>
            <wp:wrapTight wrapText="bothSides">
              <wp:wrapPolygon edited="0">
                <wp:start x="0" y="0"/>
                <wp:lineTo x="0" y="21143"/>
                <wp:lineTo x="21022" y="21143"/>
                <wp:lineTo x="2102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782955" cy="1109345"/>
                    </a:xfrm>
                    <a:prstGeom prst="rect">
                      <a:avLst/>
                    </a:prstGeom>
                    <a:noFill/>
                    <a:ln w="9525">
                      <a:noFill/>
                      <a:miter lim="800000"/>
                      <a:headEnd/>
                      <a:tailEnd/>
                    </a:ln>
                  </pic:spPr>
                </pic:pic>
              </a:graphicData>
            </a:graphic>
          </wp:anchor>
        </w:drawing>
      </w:r>
      <w:r w:rsidR="00DA08E4" w:rsidRPr="002F7029">
        <w:rPr>
          <w:rFonts w:eastAsia="Times New Roman"/>
          <w:noProof/>
          <w:lang w:eastAsia="zh-TW"/>
        </w:rPr>
        <w:t>Journal of Advances in Biology &amp; Biotechnology</w:t>
      </w:r>
    </w:p>
    <w:p w14:paraId="6CF24602" w14:textId="77777777" w:rsidR="00AA1E27" w:rsidRPr="002F7029" w:rsidRDefault="00AA1E27" w:rsidP="00B821B1">
      <w:pPr>
        <w:spacing w:after="0" w:line="240" w:lineRule="auto"/>
        <w:ind w:left="2160"/>
        <w:rPr>
          <w:rFonts w:ascii="Times New Roman" w:eastAsia="Times New Roman" w:hAnsi="Times New Roman" w:cs="Times New Roman"/>
          <w:b/>
          <w:i/>
          <w:noProof/>
          <w:sz w:val="20"/>
          <w:szCs w:val="12"/>
          <w:lang w:eastAsia="zh-TW"/>
        </w:rPr>
      </w:pPr>
    </w:p>
    <w:p w14:paraId="2574BDDA" w14:textId="113E9211" w:rsidR="00DA08E4" w:rsidRPr="002F7029" w:rsidRDefault="00593918" w:rsidP="00B821B1">
      <w:pPr>
        <w:pStyle w:val="Heading8"/>
        <w:keepNext w:val="0"/>
        <w:keepLines w:val="0"/>
        <w:rPr>
          <w:rFonts w:eastAsia="Times New Roman"/>
        </w:rPr>
      </w:pPr>
      <w:r w:rsidRPr="002F7029">
        <w:rPr>
          <w:rFonts w:eastAsia="Times New Roman"/>
        </w:rPr>
        <w:t xml:space="preserve">Volume </w:t>
      </w:r>
      <w:r w:rsidR="009506F4">
        <w:rPr>
          <w:rFonts w:eastAsia="Times New Roman"/>
        </w:rPr>
        <w:t>29</w:t>
      </w:r>
      <w:r w:rsidRPr="002F7029">
        <w:rPr>
          <w:rFonts w:eastAsia="Times New Roman"/>
        </w:rPr>
        <w:t xml:space="preserve">, Issue </w:t>
      </w:r>
      <w:r w:rsidR="009506F4">
        <w:rPr>
          <w:rFonts w:eastAsia="Times New Roman"/>
        </w:rPr>
        <w:t>11</w:t>
      </w:r>
      <w:r w:rsidRPr="002F7029">
        <w:rPr>
          <w:rFonts w:eastAsia="Times New Roman"/>
        </w:rPr>
        <w:t xml:space="preserve">, Page </w:t>
      </w:r>
      <w:r w:rsidR="009506F4" w:rsidRPr="009506F4">
        <w:rPr>
          <w:rFonts w:eastAsia="Times New Roman"/>
        </w:rPr>
        <w:t>765-794</w:t>
      </w:r>
      <w:r w:rsidRPr="002F7029">
        <w:rPr>
          <w:rFonts w:eastAsia="Times New Roman"/>
        </w:rPr>
        <w:t xml:space="preserve">, </w:t>
      </w:r>
      <w:r w:rsidR="009506F4">
        <w:rPr>
          <w:rFonts w:eastAsia="Times New Roman"/>
        </w:rPr>
        <w:t>2026</w:t>
      </w:r>
      <w:r w:rsidR="00DA08E4" w:rsidRPr="002F7029">
        <w:rPr>
          <w:rFonts w:eastAsia="Times New Roman"/>
        </w:rPr>
        <w:t xml:space="preserve">; Article </w:t>
      </w:r>
      <w:proofErr w:type="gramStart"/>
      <w:r w:rsidR="00DA08E4" w:rsidRPr="002F7029">
        <w:rPr>
          <w:rFonts w:eastAsia="Times New Roman"/>
        </w:rPr>
        <w:t>no.JABB</w:t>
      </w:r>
      <w:proofErr w:type="gramEnd"/>
      <w:r w:rsidR="006F1B1A" w:rsidRPr="002F7029">
        <w:rPr>
          <w:rFonts w:eastAsia="Times New Roman"/>
        </w:rPr>
        <w:t>.168781</w:t>
      </w:r>
    </w:p>
    <w:p w14:paraId="0AA4293E" w14:textId="77777777" w:rsidR="00B97CB8" w:rsidRPr="002F7029" w:rsidRDefault="00B97CB8" w:rsidP="00B821B1">
      <w:pPr>
        <w:pStyle w:val="Heading8"/>
        <w:keepNext w:val="0"/>
        <w:keepLines w:val="0"/>
        <w:rPr>
          <w:rFonts w:eastAsia="Times New Roman"/>
        </w:rPr>
      </w:pPr>
      <w:r w:rsidRPr="002F7029">
        <w:rPr>
          <w:rFonts w:eastAsia="Times New Roman"/>
        </w:rPr>
        <w:t>ISSN: 2394-1081</w:t>
      </w:r>
    </w:p>
    <w:p w14:paraId="56CEE938" w14:textId="77777777" w:rsidR="00AA1E27" w:rsidRPr="002F7029" w:rsidRDefault="00AA1E27" w:rsidP="00B821B1">
      <w:pPr>
        <w:spacing w:after="0" w:line="240" w:lineRule="auto"/>
        <w:ind w:left="2160"/>
        <w:rPr>
          <w:rFonts w:ascii="Times New Roman" w:eastAsia="Times New Roman" w:hAnsi="Times New Roman" w:cs="Times New Roman"/>
          <w:b/>
          <w:i/>
          <w:sz w:val="14"/>
          <w:szCs w:val="16"/>
        </w:rPr>
      </w:pPr>
    </w:p>
    <w:p w14:paraId="5AD5DDF0" w14:textId="77777777" w:rsidR="00AA1E27" w:rsidRPr="002F7029" w:rsidRDefault="00AA1E27" w:rsidP="00B821B1">
      <w:pPr>
        <w:spacing w:after="0" w:line="240" w:lineRule="auto"/>
        <w:ind w:left="2160"/>
        <w:rPr>
          <w:rFonts w:ascii="Times New Roman" w:eastAsia="Times New Roman" w:hAnsi="Times New Roman" w:cs="Times New Roman"/>
          <w:b/>
          <w:i/>
          <w:sz w:val="14"/>
          <w:szCs w:val="16"/>
        </w:rPr>
      </w:pPr>
    </w:p>
    <w:p w14:paraId="59B01CCC" w14:textId="278317B6" w:rsidR="00DA08E4" w:rsidRPr="002F7029" w:rsidRDefault="00000000" w:rsidP="00B821B1">
      <w:pPr>
        <w:spacing w:after="0" w:line="240" w:lineRule="auto"/>
        <w:jc w:val="right"/>
        <w:rPr>
          <w:rFonts w:ascii="Times New Roman" w:eastAsia="Times New Roman" w:hAnsi="Times New Roman" w:cs="Times New Roman"/>
          <w:b/>
          <w:bCs/>
          <w:kern w:val="28"/>
          <w:sz w:val="10"/>
          <w:szCs w:val="20"/>
        </w:rPr>
      </w:pPr>
      <w:r>
        <w:pict w14:anchorId="71FFAFF3">
          <v:shapetype id="_x0000_t32" coordsize="21600,21600" o:spt="32" o:oned="t" path="m,l21600,21600e" filled="f">
            <v:path arrowok="t" fillok="f" o:connecttype="none"/>
            <o:lock v:ext="edit" shapetype="t"/>
          </v:shapetype>
          <v:shape id="AutoShape 54" o:spid="_x0000_s2070" type="#_x0000_t32" style="width:450.7pt;height:.05pt;visibility:visible;mso-wrap-style:square;mso-left-percent:-10001;mso-top-percent:-10001;mso-position-horizontal:absolute;mso-position-horizontal-relative:char;mso-position-vertical:absolute;mso-position-vertical-relative:line;mso-left-percent:-10001;mso-top-percent:-10001" strokeweight="1.5pt">
            <w10:anchorlock/>
          </v:shape>
        </w:pict>
      </w:r>
    </w:p>
    <w:p w14:paraId="544DAB6E" w14:textId="77777777" w:rsidR="00444654" w:rsidRPr="002F7029" w:rsidRDefault="00444654" w:rsidP="00B821B1">
      <w:pPr>
        <w:spacing w:after="0" w:line="240" w:lineRule="auto"/>
        <w:jc w:val="right"/>
        <w:rPr>
          <w:rFonts w:ascii="Times New Roman" w:eastAsia="Times New Roman" w:hAnsi="Times New Roman" w:cs="Times New Roman"/>
          <w:b/>
          <w:bCs/>
          <w:color w:val="000000"/>
          <w:sz w:val="20"/>
          <w:szCs w:val="36"/>
        </w:rPr>
      </w:pPr>
    </w:p>
    <w:p w14:paraId="42B67553" w14:textId="7BF267F4" w:rsidR="00AB5348" w:rsidRPr="002F7029" w:rsidRDefault="006F1B1A" w:rsidP="00B821B1">
      <w:pPr>
        <w:pStyle w:val="Heading1"/>
        <w:keepNext w:val="0"/>
        <w:keepLines w:val="0"/>
        <w:rPr>
          <w:rFonts w:eastAsia="Times New Roman"/>
        </w:rPr>
      </w:pPr>
      <w:r w:rsidRPr="002F7029">
        <w:rPr>
          <w:rFonts w:eastAsia="Times New Roman"/>
          <w:lang w:val="en-IN"/>
        </w:rPr>
        <w:t>Climate-</w:t>
      </w:r>
      <w:r w:rsidR="00B821B1" w:rsidRPr="002F7029">
        <w:rPr>
          <w:rFonts w:eastAsia="Times New Roman"/>
          <w:lang w:val="en-IN"/>
        </w:rPr>
        <w:t xml:space="preserve">resilient </w:t>
      </w:r>
      <w:r w:rsidRPr="002F7029">
        <w:rPr>
          <w:rFonts w:eastAsia="Times New Roman"/>
          <w:lang w:val="en-IN"/>
        </w:rPr>
        <w:t>Fruit Production: Integrating Genetics, Rootstocks, Canopy Management and Water-Smart Horticulture</w:t>
      </w:r>
    </w:p>
    <w:p w14:paraId="6CBFCD3D" w14:textId="77777777" w:rsidR="00AB5348" w:rsidRPr="002F7029" w:rsidRDefault="00AB5348" w:rsidP="00B821B1">
      <w:pPr>
        <w:spacing w:after="0" w:line="240" w:lineRule="auto"/>
        <w:contextualSpacing/>
        <w:jc w:val="right"/>
        <w:rPr>
          <w:rFonts w:ascii="Times New Roman" w:eastAsia="Times New Roman" w:hAnsi="Times New Roman" w:cs="Times New Roman"/>
          <w:b/>
          <w:bCs/>
          <w:sz w:val="36"/>
          <w:szCs w:val="20"/>
        </w:rPr>
      </w:pPr>
    </w:p>
    <w:p w14:paraId="15318012" w14:textId="199061E1" w:rsidR="00AB5348" w:rsidRPr="002F7029" w:rsidRDefault="006F1B1A" w:rsidP="00B821B1">
      <w:pPr>
        <w:pStyle w:val="Heading2"/>
        <w:keepNext w:val="0"/>
        <w:keepLines w:val="0"/>
        <w:rPr>
          <w:rFonts w:eastAsia="Times New Roman"/>
        </w:rPr>
      </w:pPr>
      <w:r w:rsidRPr="002F7029">
        <w:rPr>
          <w:rFonts w:eastAsia="Times New Roman"/>
        </w:rPr>
        <w:t xml:space="preserve">Priyanka Hugar </w:t>
      </w:r>
      <w:r w:rsidRPr="002F7029">
        <w:rPr>
          <w:rFonts w:eastAsia="Times New Roman"/>
          <w:vertAlign w:val="superscript"/>
        </w:rPr>
        <w:t>a++</w:t>
      </w:r>
      <w:r w:rsidR="00414CED" w:rsidRPr="002F7029">
        <w:rPr>
          <w:rFonts w:eastAsia="Times New Roman"/>
          <w:vertAlign w:val="superscript"/>
        </w:rPr>
        <w:t>*</w:t>
      </w:r>
      <w:r w:rsidRPr="002F7029">
        <w:rPr>
          <w:rFonts w:eastAsia="Times New Roman"/>
        </w:rPr>
        <w:t xml:space="preserve">, B. S. Chandana </w:t>
      </w:r>
      <w:r w:rsidRPr="002F7029">
        <w:rPr>
          <w:rFonts w:eastAsia="Times New Roman"/>
          <w:vertAlign w:val="superscript"/>
        </w:rPr>
        <w:t>a++</w:t>
      </w:r>
      <w:r w:rsidRPr="002F7029">
        <w:rPr>
          <w:rFonts w:eastAsia="Times New Roman"/>
        </w:rPr>
        <w:t>, Rakshitha R</w:t>
      </w:r>
      <w:r w:rsidR="00414CED" w:rsidRPr="002F7029">
        <w:rPr>
          <w:rFonts w:eastAsia="Times New Roman"/>
        </w:rPr>
        <w:t>.</w:t>
      </w:r>
      <w:r w:rsidRPr="002F7029">
        <w:rPr>
          <w:rFonts w:eastAsia="Times New Roman"/>
        </w:rPr>
        <w:t xml:space="preserve"> Shekar</w:t>
      </w:r>
      <w:r w:rsidR="00414CED" w:rsidRPr="002F7029">
        <w:rPr>
          <w:rFonts w:eastAsia="Times New Roman"/>
        </w:rPr>
        <w:t xml:space="preserve"> </w:t>
      </w:r>
      <w:r w:rsidR="00414CED" w:rsidRPr="002F7029">
        <w:rPr>
          <w:rFonts w:eastAsia="Times New Roman"/>
          <w:vertAlign w:val="superscript"/>
        </w:rPr>
        <w:t>b++</w:t>
      </w:r>
      <w:r w:rsidRPr="002F7029">
        <w:rPr>
          <w:rFonts w:eastAsia="Times New Roman"/>
        </w:rPr>
        <w:t xml:space="preserve">, </w:t>
      </w:r>
      <w:r w:rsidR="00414CED" w:rsidRPr="002F7029">
        <w:rPr>
          <w:rFonts w:eastAsia="Times New Roman"/>
        </w:rPr>
        <w:t xml:space="preserve">N. V. </w:t>
      </w:r>
      <w:r w:rsidRPr="002F7029">
        <w:rPr>
          <w:rFonts w:eastAsia="Times New Roman"/>
        </w:rPr>
        <w:t>Kusuma</w:t>
      </w:r>
      <w:r w:rsidR="00414CED" w:rsidRPr="002F7029">
        <w:rPr>
          <w:rFonts w:eastAsia="Times New Roman"/>
        </w:rPr>
        <w:t xml:space="preserve"> </w:t>
      </w:r>
      <w:r w:rsidR="00414CED" w:rsidRPr="002F7029">
        <w:rPr>
          <w:rFonts w:eastAsia="Times New Roman"/>
          <w:vertAlign w:val="superscript"/>
        </w:rPr>
        <w:t>c</w:t>
      </w:r>
      <w:r w:rsidR="00414CED" w:rsidRPr="002F7029">
        <w:rPr>
          <w:rFonts w:eastAsia="Times New Roman"/>
        </w:rPr>
        <w:t xml:space="preserve"> </w:t>
      </w:r>
      <w:r w:rsidRPr="002F7029">
        <w:rPr>
          <w:rFonts w:eastAsia="Times New Roman"/>
        </w:rPr>
        <w:t xml:space="preserve">and </w:t>
      </w:r>
      <w:r w:rsidR="00414CED" w:rsidRPr="002F7029">
        <w:rPr>
          <w:rFonts w:eastAsia="Times New Roman"/>
        </w:rPr>
        <w:t xml:space="preserve">A. </w:t>
      </w:r>
      <w:r w:rsidRPr="002F7029">
        <w:rPr>
          <w:rFonts w:eastAsia="Times New Roman"/>
        </w:rPr>
        <w:t>Mounik</w:t>
      </w:r>
      <w:r w:rsidR="00414CED" w:rsidRPr="002F7029">
        <w:rPr>
          <w:rFonts w:eastAsia="Times New Roman"/>
        </w:rPr>
        <w:t xml:space="preserve"> </w:t>
      </w:r>
      <w:r w:rsidR="00414CED" w:rsidRPr="002F7029">
        <w:rPr>
          <w:rFonts w:eastAsia="Times New Roman"/>
          <w:vertAlign w:val="superscript"/>
        </w:rPr>
        <w:t>d++</w:t>
      </w:r>
      <w:r w:rsidRPr="002F7029">
        <w:rPr>
          <w:rFonts w:eastAsia="Times New Roman"/>
        </w:rPr>
        <w:t xml:space="preserve"> </w:t>
      </w:r>
    </w:p>
    <w:p w14:paraId="270ADD06" w14:textId="77777777" w:rsidR="00AB5348" w:rsidRPr="002F7029" w:rsidRDefault="00AB5348" w:rsidP="00B821B1">
      <w:pPr>
        <w:spacing w:after="0" w:line="280" w:lineRule="exact"/>
        <w:jc w:val="right"/>
        <w:rPr>
          <w:rFonts w:ascii="Times New Roman" w:eastAsia="Times New Roman" w:hAnsi="Times New Roman" w:cs="Times New Roman"/>
          <w:b/>
          <w:bCs/>
          <w:sz w:val="24"/>
          <w:szCs w:val="20"/>
        </w:rPr>
      </w:pPr>
    </w:p>
    <w:p w14:paraId="66CE08A4" w14:textId="0A4DC143" w:rsidR="00AB5348" w:rsidRPr="002F7029" w:rsidRDefault="006F1B1A" w:rsidP="00B821B1">
      <w:pPr>
        <w:spacing w:after="0" w:line="240" w:lineRule="auto"/>
        <w:jc w:val="right"/>
        <w:rPr>
          <w:rFonts w:ascii="Times New Roman" w:eastAsia="Times New Roman" w:hAnsi="Times New Roman" w:cs="Times New Roman"/>
          <w:bCs/>
          <w:i/>
          <w:sz w:val="20"/>
          <w:szCs w:val="20"/>
        </w:rPr>
      </w:pPr>
      <w:r w:rsidRPr="002F7029">
        <w:rPr>
          <w:rFonts w:ascii="Times New Roman" w:eastAsia="Times New Roman" w:hAnsi="Times New Roman" w:cs="Times New Roman"/>
          <w:bCs/>
          <w:i/>
          <w:sz w:val="20"/>
          <w:szCs w:val="20"/>
          <w:vertAlign w:val="superscript"/>
        </w:rPr>
        <w:t>a</w:t>
      </w:r>
      <w:r w:rsidRPr="002F7029">
        <w:rPr>
          <w:rFonts w:ascii="Times New Roman" w:eastAsia="Times New Roman" w:hAnsi="Times New Roman" w:cs="Times New Roman"/>
          <w:bCs/>
          <w:i/>
          <w:sz w:val="20"/>
          <w:szCs w:val="20"/>
        </w:rPr>
        <w:t xml:space="preserve"> Department of Fruit Science, College of Horticulture, UHS Campus, Bengaluru, Karnataka 560065, India.</w:t>
      </w:r>
    </w:p>
    <w:p w14:paraId="476C2509" w14:textId="3F5AA18B" w:rsidR="006F1B1A" w:rsidRPr="002F7029" w:rsidRDefault="006F1B1A" w:rsidP="00B821B1">
      <w:pPr>
        <w:spacing w:after="0" w:line="240" w:lineRule="auto"/>
        <w:jc w:val="right"/>
        <w:rPr>
          <w:rFonts w:ascii="Times New Roman" w:eastAsia="Times New Roman" w:hAnsi="Times New Roman" w:cs="Times New Roman"/>
          <w:bCs/>
          <w:i/>
          <w:sz w:val="20"/>
          <w:szCs w:val="20"/>
          <w:lang w:val="en-IN"/>
        </w:rPr>
      </w:pPr>
      <w:r w:rsidRPr="002F7029">
        <w:rPr>
          <w:rFonts w:ascii="Times New Roman" w:eastAsia="Times New Roman" w:hAnsi="Times New Roman" w:cs="Times New Roman"/>
          <w:bCs/>
          <w:i/>
          <w:sz w:val="20"/>
          <w:szCs w:val="20"/>
          <w:vertAlign w:val="superscript"/>
          <w:lang w:val="en-GB"/>
        </w:rPr>
        <w:t>b</w:t>
      </w:r>
      <w:r w:rsidRPr="002F7029">
        <w:rPr>
          <w:rFonts w:ascii="Times New Roman" w:eastAsia="Times New Roman" w:hAnsi="Times New Roman" w:cs="Times New Roman"/>
          <w:bCs/>
          <w:i/>
          <w:sz w:val="20"/>
          <w:szCs w:val="20"/>
          <w:lang w:val="en-GB"/>
        </w:rPr>
        <w:t xml:space="preserve"> Department of Post harvest Management, </w:t>
      </w:r>
      <w:r w:rsidRPr="002F7029">
        <w:rPr>
          <w:rFonts w:ascii="Times New Roman" w:eastAsia="Times New Roman" w:hAnsi="Times New Roman" w:cs="Times New Roman"/>
          <w:bCs/>
          <w:i/>
          <w:sz w:val="20"/>
          <w:szCs w:val="20"/>
          <w:lang w:val="en-IN"/>
        </w:rPr>
        <w:t xml:space="preserve">College of Horticulture, UHS Campus, Bengaluru, </w:t>
      </w:r>
      <w:r w:rsidR="00553C64">
        <w:rPr>
          <w:rFonts w:ascii="Times New Roman" w:eastAsia="Times New Roman" w:hAnsi="Times New Roman" w:cs="Times New Roman"/>
          <w:bCs/>
          <w:i/>
          <w:sz w:val="20"/>
          <w:szCs w:val="20"/>
          <w:lang w:val="en-IN"/>
        </w:rPr>
        <w:br/>
      </w:r>
      <w:r w:rsidRPr="002F7029">
        <w:rPr>
          <w:rFonts w:ascii="Times New Roman" w:eastAsia="Times New Roman" w:hAnsi="Times New Roman" w:cs="Times New Roman"/>
          <w:bCs/>
          <w:i/>
          <w:sz w:val="20"/>
          <w:szCs w:val="20"/>
        </w:rPr>
        <w:t xml:space="preserve">Karnataka </w:t>
      </w:r>
      <w:r w:rsidRPr="002F7029">
        <w:rPr>
          <w:rFonts w:ascii="Times New Roman" w:eastAsia="Times New Roman" w:hAnsi="Times New Roman" w:cs="Times New Roman"/>
          <w:bCs/>
          <w:i/>
          <w:sz w:val="20"/>
          <w:szCs w:val="20"/>
          <w:lang w:val="en-IN"/>
        </w:rPr>
        <w:t>560065, India.</w:t>
      </w:r>
    </w:p>
    <w:p w14:paraId="517DC4D7" w14:textId="263AB496" w:rsidR="006F1B1A" w:rsidRPr="002F7029" w:rsidRDefault="00414CED" w:rsidP="00B821B1">
      <w:pPr>
        <w:spacing w:after="0" w:line="240" w:lineRule="auto"/>
        <w:jc w:val="right"/>
        <w:rPr>
          <w:rFonts w:ascii="Times New Roman" w:eastAsia="Times New Roman" w:hAnsi="Times New Roman" w:cs="Times New Roman"/>
          <w:bCs/>
          <w:i/>
          <w:sz w:val="20"/>
          <w:szCs w:val="20"/>
          <w:lang w:val="en-IN"/>
        </w:rPr>
      </w:pPr>
      <w:r w:rsidRPr="002F7029">
        <w:rPr>
          <w:rFonts w:ascii="Times New Roman" w:eastAsia="Times New Roman" w:hAnsi="Times New Roman" w:cs="Times New Roman"/>
          <w:bCs/>
          <w:i/>
          <w:sz w:val="20"/>
          <w:szCs w:val="20"/>
          <w:vertAlign w:val="superscript"/>
          <w:lang w:val="en-IN"/>
        </w:rPr>
        <w:t>c</w:t>
      </w:r>
      <w:r w:rsidRPr="002F7029">
        <w:rPr>
          <w:rFonts w:ascii="Times New Roman" w:eastAsia="Times New Roman" w:hAnsi="Times New Roman" w:cs="Times New Roman"/>
          <w:bCs/>
          <w:i/>
          <w:sz w:val="20"/>
          <w:szCs w:val="20"/>
          <w:lang w:val="en-IN"/>
        </w:rPr>
        <w:t xml:space="preserve"> </w:t>
      </w:r>
      <w:r w:rsidR="006F1B1A" w:rsidRPr="002F7029">
        <w:rPr>
          <w:rFonts w:ascii="Times New Roman" w:eastAsia="Times New Roman" w:hAnsi="Times New Roman" w:cs="Times New Roman"/>
          <w:bCs/>
          <w:i/>
          <w:sz w:val="20"/>
          <w:szCs w:val="20"/>
          <w:lang w:val="en-IN"/>
        </w:rPr>
        <w:t xml:space="preserve">College of Horticulture, UHS Campus, Bengaluru, </w:t>
      </w:r>
      <w:r w:rsidR="006F1B1A" w:rsidRPr="002F7029">
        <w:rPr>
          <w:rFonts w:ascii="Times New Roman" w:eastAsia="Times New Roman" w:hAnsi="Times New Roman" w:cs="Times New Roman"/>
          <w:bCs/>
          <w:i/>
          <w:sz w:val="20"/>
          <w:szCs w:val="20"/>
        </w:rPr>
        <w:t xml:space="preserve">Karnataka </w:t>
      </w:r>
      <w:r w:rsidR="006F1B1A" w:rsidRPr="002F7029">
        <w:rPr>
          <w:rFonts w:ascii="Times New Roman" w:eastAsia="Times New Roman" w:hAnsi="Times New Roman" w:cs="Times New Roman"/>
          <w:bCs/>
          <w:i/>
          <w:sz w:val="20"/>
          <w:szCs w:val="20"/>
          <w:lang w:val="en-IN"/>
        </w:rPr>
        <w:t>560065, India.</w:t>
      </w:r>
    </w:p>
    <w:p w14:paraId="31B4C114" w14:textId="6B7CB2FF" w:rsidR="006F1B1A" w:rsidRPr="002F7029" w:rsidRDefault="00414CED" w:rsidP="00B821B1">
      <w:pPr>
        <w:spacing w:after="0" w:line="240" w:lineRule="auto"/>
        <w:jc w:val="right"/>
        <w:rPr>
          <w:rFonts w:ascii="Times New Roman" w:eastAsia="Times New Roman" w:hAnsi="Times New Roman" w:cs="Times New Roman"/>
          <w:bCs/>
          <w:i/>
          <w:sz w:val="20"/>
          <w:szCs w:val="20"/>
        </w:rPr>
      </w:pPr>
      <w:r w:rsidRPr="002F7029">
        <w:rPr>
          <w:rFonts w:ascii="Times New Roman" w:eastAsia="Times New Roman" w:hAnsi="Times New Roman" w:cs="Times New Roman"/>
          <w:bCs/>
          <w:i/>
          <w:sz w:val="20"/>
          <w:szCs w:val="20"/>
          <w:vertAlign w:val="superscript"/>
          <w:lang w:val="en-IN"/>
        </w:rPr>
        <w:t>d</w:t>
      </w:r>
      <w:r w:rsidR="006F1B1A" w:rsidRPr="002F7029">
        <w:rPr>
          <w:rFonts w:ascii="Times New Roman" w:eastAsia="Times New Roman" w:hAnsi="Times New Roman" w:cs="Times New Roman"/>
          <w:bCs/>
          <w:i/>
          <w:sz w:val="20"/>
          <w:szCs w:val="20"/>
          <w:lang w:val="en-IN"/>
        </w:rPr>
        <w:t xml:space="preserve"> Department of Fruit Science, College of Horticulture Bagalkot, University of </w:t>
      </w:r>
      <w:r w:rsidRPr="002F7029">
        <w:rPr>
          <w:rFonts w:ascii="Times New Roman" w:eastAsia="Times New Roman" w:hAnsi="Times New Roman" w:cs="Times New Roman"/>
          <w:bCs/>
          <w:i/>
          <w:sz w:val="20"/>
          <w:szCs w:val="20"/>
          <w:lang w:val="en-IN"/>
        </w:rPr>
        <w:t>Horticultural Sciences</w:t>
      </w:r>
      <w:r w:rsidR="006F1B1A" w:rsidRPr="002F7029">
        <w:rPr>
          <w:rFonts w:ascii="Times New Roman" w:eastAsia="Times New Roman" w:hAnsi="Times New Roman" w:cs="Times New Roman"/>
          <w:bCs/>
          <w:i/>
          <w:sz w:val="20"/>
          <w:szCs w:val="20"/>
          <w:lang w:val="en-IN"/>
        </w:rPr>
        <w:t>, Bagalkot</w:t>
      </w:r>
      <w:r w:rsidRPr="002F7029">
        <w:rPr>
          <w:rFonts w:ascii="Times New Roman" w:eastAsia="Times New Roman" w:hAnsi="Times New Roman" w:cs="Times New Roman"/>
          <w:bCs/>
          <w:i/>
          <w:sz w:val="20"/>
          <w:szCs w:val="20"/>
          <w:lang w:val="en-IN"/>
        </w:rPr>
        <w:t>,</w:t>
      </w:r>
      <w:r w:rsidR="006F1B1A" w:rsidRPr="002F7029">
        <w:rPr>
          <w:rFonts w:ascii="Times New Roman" w:eastAsia="Times New Roman" w:hAnsi="Times New Roman" w:cs="Times New Roman"/>
          <w:bCs/>
          <w:i/>
          <w:sz w:val="20"/>
          <w:szCs w:val="20"/>
          <w:lang w:val="en-IN"/>
        </w:rPr>
        <w:t xml:space="preserve"> </w:t>
      </w:r>
      <w:r w:rsidRPr="002F7029">
        <w:rPr>
          <w:rFonts w:ascii="Times New Roman" w:eastAsia="Times New Roman" w:hAnsi="Times New Roman" w:cs="Times New Roman"/>
          <w:bCs/>
          <w:i/>
          <w:sz w:val="20"/>
          <w:szCs w:val="20"/>
        </w:rPr>
        <w:t xml:space="preserve">Karnataka </w:t>
      </w:r>
      <w:r w:rsidR="006F1B1A" w:rsidRPr="002F7029">
        <w:rPr>
          <w:rFonts w:ascii="Times New Roman" w:eastAsia="Times New Roman" w:hAnsi="Times New Roman" w:cs="Times New Roman"/>
          <w:bCs/>
          <w:i/>
          <w:sz w:val="20"/>
          <w:szCs w:val="20"/>
          <w:lang w:val="en-IN"/>
        </w:rPr>
        <w:t>587104, India.</w:t>
      </w:r>
    </w:p>
    <w:p w14:paraId="092E7723" w14:textId="77777777" w:rsidR="006678FC" w:rsidRPr="002F7029" w:rsidRDefault="006678FC" w:rsidP="00B821B1">
      <w:pPr>
        <w:spacing w:after="0" w:line="240" w:lineRule="auto"/>
        <w:jc w:val="right"/>
        <w:rPr>
          <w:rFonts w:ascii="Times New Roman" w:eastAsia="Times New Roman" w:hAnsi="Times New Roman" w:cs="Times New Roman"/>
          <w:i/>
          <w:sz w:val="20"/>
          <w:szCs w:val="20"/>
        </w:rPr>
      </w:pPr>
    </w:p>
    <w:p w14:paraId="569D4158" w14:textId="71958A86" w:rsidR="006678FC" w:rsidRPr="002F7029" w:rsidRDefault="00D3294C" w:rsidP="00B821B1">
      <w:pPr>
        <w:spacing w:after="0" w:line="240" w:lineRule="auto"/>
        <w:jc w:val="right"/>
        <w:rPr>
          <w:rFonts w:ascii="Times New Roman" w:eastAsia="Times New Roman" w:hAnsi="Times New Roman" w:cs="Times New Roman"/>
          <w:b/>
          <w:i/>
          <w:sz w:val="20"/>
          <w:szCs w:val="20"/>
        </w:rPr>
      </w:pPr>
      <w:r w:rsidRPr="002F7029">
        <w:rPr>
          <w:rFonts w:ascii="Times New Roman" w:eastAsia="Times New Roman" w:hAnsi="Times New Roman" w:cs="Times New Roman"/>
          <w:b/>
          <w:i/>
          <w:sz w:val="20"/>
          <w:szCs w:val="20"/>
        </w:rPr>
        <w:t>Authors’ contributions</w:t>
      </w:r>
    </w:p>
    <w:p w14:paraId="69E0BFAF" w14:textId="77777777" w:rsidR="006678FC" w:rsidRPr="002F7029" w:rsidRDefault="006678FC" w:rsidP="00B821B1">
      <w:pPr>
        <w:spacing w:after="0" w:line="240" w:lineRule="auto"/>
        <w:jc w:val="right"/>
        <w:rPr>
          <w:rFonts w:ascii="Times New Roman" w:eastAsia="Times New Roman" w:hAnsi="Times New Roman" w:cs="Times New Roman"/>
          <w:b/>
          <w:i/>
          <w:sz w:val="20"/>
          <w:szCs w:val="20"/>
        </w:rPr>
      </w:pPr>
    </w:p>
    <w:p w14:paraId="6E2679EF" w14:textId="2FBDA4CA" w:rsidR="00E41573" w:rsidRPr="002F7029" w:rsidRDefault="00E41573" w:rsidP="00B821B1">
      <w:pPr>
        <w:spacing w:after="0" w:line="240" w:lineRule="auto"/>
        <w:jc w:val="right"/>
        <w:rPr>
          <w:rFonts w:ascii="Times New Roman" w:eastAsia="Times New Roman" w:hAnsi="Times New Roman" w:cs="Times New Roman"/>
          <w:i/>
          <w:sz w:val="20"/>
          <w:szCs w:val="20"/>
        </w:rPr>
      </w:pPr>
      <w:r w:rsidRPr="002F7029">
        <w:rPr>
          <w:rFonts w:ascii="Times New Roman" w:hAnsi="Times New Roman" w:cs="Times New Roman"/>
          <w:i/>
          <w:sz w:val="20"/>
        </w:rPr>
        <w:t>This work was carried out in collaboration among all authors. All authors read and approved the final manuscript.</w:t>
      </w:r>
    </w:p>
    <w:p w14:paraId="5520AC1A" w14:textId="77777777" w:rsidR="006678FC" w:rsidRPr="002F7029" w:rsidRDefault="006678FC" w:rsidP="00B821B1">
      <w:pPr>
        <w:spacing w:after="0" w:line="240" w:lineRule="auto"/>
        <w:jc w:val="right"/>
        <w:rPr>
          <w:rFonts w:ascii="Times New Roman" w:eastAsia="Times New Roman" w:hAnsi="Times New Roman" w:cs="Times New Roman"/>
          <w:i/>
          <w:sz w:val="20"/>
          <w:szCs w:val="20"/>
        </w:rPr>
      </w:pPr>
    </w:p>
    <w:p w14:paraId="61773909" w14:textId="77777777" w:rsidR="006678FC" w:rsidRPr="002F7029" w:rsidRDefault="006678FC" w:rsidP="00B821B1">
      <w:pPr>
        <w:spacing w:after="0" w:line="240" w:lineRule="auto"/>
        <w:jc w:val="right"/>
        <w:rPr>
          <w:rFonts w:ascii="Times New Roman" w:eastAsia="Times New Roman" w:hAnsi="Times New Roman" w:cs="Times New Roman"/>
          <w:b/>
          <w:i/>
          <w:sz w:val="20"/>
          <w:szCs w:val="20"/>
        </w:rPr>
      </w:pPr>
      <w:r w:rsidRPr="002F7029">
        <w:rPr>
          <w:rFonts w:ascii="Times New Roman" w:eastAsia="Times New Roman" w:hAnsi="Times New Roman" w:cs="Times New Roman"/>
          <w:b/>
          <w:i/>
          <w:sz w:val="20"/>
          <w:szCs w:val="20"/>
        </w:rPr>
        <w:t>Article Information</w:t>
      </w:r>
    </w:p>
    <w:p w14:paraId="35D3F512" w14:textId="77777777" w:rsidR="006678FC" w:rsidRPr="002F7029" w:rsidRDefault="006678FC" w:rsidP="00B821B1">
      <w:pPr>
        <w:spacing w:after="0" w:line="240" w:lineRule="auto"/>
        <w:jc w:val="right"/>
        <w:rPr>
          <w:rFonts w:ascii="Times New Roman" w:eastAsia="Times New Roman" w:hAnsi="Times New Roman" w:cs="Times New Roman"/>
          <w:b/>
          <w:i/>
          <w:sz w:val="16"/>
          <w:szCs w:val="20"/>
        </w:rPr>
      </w:pPr>
    </w:p>
    <w:p w14:paraId="1F6D9579" w14:textId="1B0CA907" w:rsidR="006678FC" w:rsidRPr="002F7029" w:rsidRDefault="006678FC" w:rsidP="00B821B1">
      <w:pPr>
        <w:spacing w:after="0" w:line="240" w:lineRule="auto"/>
        <w:jc w:val="right"/>
        <w:rPr>
          <w:rFonts w:ascii="Times New Roman" w:eastAsia="Times New Roman" w:hAnsi="Times New Roman" w:cs="Times New Roman"/>
          <w:sz w:val="16"/>
          <w:szCs w:val="16"/>
        </w:rPr>
      </w:pPr>
      <w:r w:rsidRPr="002F7029">
        <w:rPr>
          <w:rFonts w:ascii="Times New Roman" w:eastAsia="Times New Roman" w:hAnsi="Times New Roman" w:cs="Times New Roman"/>
          <w:sz w:val="16"/>
          <w:szCs w:val="16"/>
        </w:rPr>
        <w:t xml:space="preserve">DOI: </w:t>
      </w:r>
      <w:hyperlink r:id="rId8" w:history="1">
        <w:r w:rsidR="009506F4" w:rsidRPr="00AA4C26">
          <w:rPr>
            <w:rStyle w:val="Hyperlink"/>
            <w:rFonts w:ascii="Times New Roman" w:eastAsia="Times New Roman" w:hAnsi="Times New Roman" w:cs="Times New Roman"/>
            <w:sz w:val="16"/>
            <w:szCs w:val="16"/>
            <w:u w:val="none"/>
          </w:rPr>
          <w:t>https://doi.org/10.9734/jabb/2026/v29i114622</w:t>
        </w:r>
      </w:hyperlink>
      <w:r w:rsidR="009506F4">
        <w:rPr>
          <w:rFonts w:ascii="Times New Roman" w:eastAsia="Times New Roman" w:hAnsi="Times New Roman" w:cs="Times New Roman"/>
          <w:sz w:val="16"/>
          <w:szCs w:val="16"/>
        </w:rPr>
        <w:t xml:space="preserve"> </w:t>
      </w:r>
    </w:p>
    <w:p w14:paraId="4A0C05F1" w14:textId="77777777" w:rsidR="00356C0A" w:rsidRPr="002F7029" w:rsidRDefault="00356C0A" w:rsidP="00B821B1">
      <w:pPr>
        <w:spacing w:after="0" w:line="240" w:lineRule="auto"/>
        <w:jc w:val="right"/>
        <w:rPr>
          <w:rFonts w:ascii="Times New Roman" w:eastAsia="Times New Roman" w:hAnsi="Times New Roman" w:cs="Times New Roman"/>
          <w:sz w:val="16"/>
          <w:szCs w:val="16"/>
        </w:rPr>
      </w:pPr>
    </w:p>
    <w:p w14:paraId="4A4CD73A" w14:textId="77777777" w:rsidR="00356C0A" w:rsidRPr="002F7029" w:rsidRDefault="00356C0A" w:rsidP="00B821B1">
      <w:pPr>
        <w:spacing w:after="0" w:line="240" w:lineRule="auto"/>
        <w:jc w:val="right"/>
        <w:rPr>
          <w:rFonts w:ascii="Times New Roman" w:eastAsia="Times New Roman" w:hAnsi="Times New Roman" w:cs="Times New Roman"/>
          <w:b/>
          <w:sz w:val="16"/>
          <w:szCs w:val="16"/>
        </w:rPr>
      </w:pPr>
      <w:r w:rsidRPr="002F7029">
        <w:rPr>
          <w:rFonts w:ascii="Times New Roman" w:eastAsia="Times New Roman" w:hAnsi="Times New Roman" w:cs="Times New Roman"/>
          <w:b/>
          <w:sz w:val="16"/>
          <w:szCs w:val="16"/>
        </w:rPr>
        <w:t>Open Peer Review History:</w:t>
      </w:r>
    </w:p>
    <w:p w14:paraId="00E99C66" w14:textId="0FC47888" w:rsidR="00356C0A" w:rsidRPr="002F7029" w:rsidRDefault="00356C0A" w:rsidP="00B821B1">
      <w:pPr>
        <w:spacing w:after="0" w:line="240" w:lineRule="auto"/>
        <w:jc w:val="right"/>
        <w:rPr>
          <w:rFonts w:ascii="Times New Roman" w:eastAsia="Times New Roman" w:hAnsi="Times New Roman" w:cs="Times New Roman"/>
          <w:sz w:val="15"/>
          <w:szCs w:val="15"/>
        </w:rPr>
      </w:pPr>
      <w:r w:rsidRPr="002F7029">
        <w:rPr>
          <w:rFonts w:ascii="Times New Roman" w:eastAsia="Times New Roman" w:hAnsi="Times New Roman" w:cs="Times New Roman"/>
          <w:sz w:val="15"/>
          <w:szCs w:val="15"/>
        </w:rPr>
        <w:t xml:space="preserve">This journal follows the Advanced Open Peer Review policy. Identity of the Reviewers, Editor(s) and additional Reviewers, peer review comments, different versions of the manuscript, comments of the editors, </w:t>
      </w:r>
      <w:proofErr w:type="spellStart"/>
      <w:r w:rsidRPr="002F7029">
        <w:rPr>
          <w:rFonts w:ascii="Times New Roman" w:eastAsia="Times New Roman" w:hAnsi="Times New Roman" w:cs="Times New Roman"/>
          <w:sz w:val="15"/>
          <w:szCs w:val="15"/>
        </w:rPr>
        <w:t>etc</w:t>
      </w:r>
      <w:proofErr w:type="spellEnd"/>
      <w:r w:rsidRPr="002F7029">
        <w:rPr>
          <w:rFonts w:ascii="Times New Roman" w:eastAsia="Times New Roman" w:hAnsi="Times New Roman" w:cs="Times New Roman"/>
          <w:sz w:val="15"/>
          <w:szCs w:val="15"/>
        </w:rPr>
        <w:t xml:space="preserve"> are available here:</w:t>
      </w:r>
      <w:r w:rsidR="009506F4" w:rsidRPr="009506F4">
        <w:t xml:space="preserve"> </w:t>
      </w:r>
      <w:hyperlink r:id="rId9" w:history="1">
        <w:r w:rsidR="009506F4" w:rsidRPr="009506F4">
          <w:rPr>
            <w:rStyle w:val="Hyperlink"/>
            <w:rFonts w:ascii="Times New Roman" w:eastAsia="Times New Roman" w:hAnsi="Times New Roman" w:cs="Times New Roman"/>
            <w:sz w:val="15"/>
            <w:szCs w:val="15"/>
            <w:u w:val="none"/>
          </w:rPr>
          <w:t>https://pr.sdiarticle5.com/review-history/168781</w:t>
        </w:r>
      </w:hyperlink>
      <w:r w:rsidR="009506F4">
        <w:rPr>
          <w:rFonts w:ascii="Times New Roman" w:eastAsia="Times New Roman" w:hAnsi="Times New Roman" w:cs="Times New Roman"/>
          <w:sz w:val="15"/>
          <w:szCs w:val="15"/>
        </w:rPr>
        <w:t xml:space="preserve"> </w:t>
      </w:r>
    </w:p>
    <w:p w14:paraId="2DAD4DB4" w14:textId="77777777" w:rsidR="00444654" w:rsidRPr="002F7029" w:rsidRDefault="00444654" w:rsidP="00B821B1">
      <w:pPr>
        <w:spacing w:after="0" w:line="240" w:lineRule="auto"/>
        <w:jc w:val="right"/>
        <w:rPr>
          <w:rFonts w:ascii="Times New Roman" w:eastAsia="Times New Roman" w:hAnsi="Times New Roman" w:cs="Times New Roman"/>
          <w:b/>
          <w:sz w:val="20"/>
          <w:szCs w:val="20"/>
        </w:rPr>
      </w:pPr>
    </w:p>
    <w:p w14:paraId="6C8AC2E6" w14:textId="77777777" w:rsidR="00444654" w:rsidRPr="002F7029" w:rsidRDefault="00444654" w:rsidP="00B821B1">
      <w:pPr>
        <w:spacing w:after="0" w:line="240" w:lineRule="auto"/>
        <w:jc w:val="right"/>
        <w:rPr>
          <w:rFonts w:ascii="Times New Roman" w:eastAsia="Times New Roman" w:hAnsi="Times New Roman" w:cs="Times New Roman"/>
          <w:b/>
          <w:sz w:val="20"/>
          <w:szCs w:val="20"/>
        </w:rPr>
      </w:pPr>
    </w:p>
    <w:p w14:paraId="6D5CF6D8" w14:textId="54B5DBB2" w:rsidR="00444654" w:rsidRPr="002F7029" w:rsidRDefault="00444654" w:rsidP="00B821B1">
      <w:pPr>
        <w:autoSpaceDE w:val="0"/>
        <w:autoSpaceDN w:val="0"/>
        <w:adjustRightInd w:val="0"/>
        <w:spacing w:after="0" w:line="240" w:lineRule="auto"/>
        <w:jc w:val="right"/>
        <w:rPr>
          <w:rFonts w:ascii="Times New Roman" w:eastAsia="Times New Roman" w:hAnsi="Times New Roman" w:cs="Times New Roman"/>
          <w:b/>
          <w:i/>
          <w:sz w:val="20"/>
          <w:szCs w:val="16"/>
        </w:rPr>
      </w:pPr>
      <w:r w:rsidRPr="002F7029">
        <w:rPr>
          <w:rFonts w:ascii="Times New Roman" w:eastAsia="Times New Roman" w:hAnsi="Times New Roman" w:cs="Times New Roman"/>
          <w:b/>
          <w:i/>
          <w:sz w:val="20"/>
          <w:szCs w:val="16"/>
        </w:rPr>
        <w:t>Received</w:t>
      </w:r>
      <w:r w:rsidR="00593918" w:rsidRPr="002F7029">
        <w:rPr>
          <w:rFonts w:ascii="Times New Roman" w:eastAsia="Times New Roman" w:hAnsi="Times New Roman" w:cs="Times New Roman"/>
          <w:b/>
          <w:i/>
          <w:sz w:val="20"/>
          <w:szCs w:val="16"/>
        </w:rPr>
        <w:t>:</w:t>
      </w:r>
      <w:r w:rsidRPr="002F7029">
        <w:rPr>
          <w:rFonts w:ascii="Times New Roman" w:eastAsia="Times New Roman" w:hAnsi="Times New Roman" w:cs="Times New Roman"/>
          <w:b/>
          <w:i/>
          <w:sz w:val="20"/>
          <w:szCs w:val="16"/>
        </w:rPr>
        <w:t xml:space="preserve"> </w:t>
      </w:r>
      <w:r w:rsidR="00AA4C26" w:rsidRPr="00AA4C26">
        <w:rPr>
          <w:rFonts w:ascii="Times New Roman" w:eastAsia="Times New Roman" w:hAnsi="Times New Roman" w:cs="Times New Roman"/>
          <w:b/>
          <w:i/>
          <w:sz w:val="20"/>
          <w:szCs w:val="16"/>
        </w:rPr>
        <w:t>03/09/2026</w:t>
      </w:r>
    </w:p>
    <w:p w14:paraId="10CBC4A3" w14:textId="4FBA1E78" w:rsidR="00453AB7" w:rsidRPr="002F7029" w:rsidRDefault="00000000" w:rsidP="00B821B1">
      <w:pPr>
        <w:autoSpaceDE w:val="0"/>
        <w:autoSpaceDN w:val="0"/>
        <w:adjustRightInd w:val="0"/>
        <w:spacing w:after="0" w:line="240" w:lineRule="auto"/>
        <w:jc w:val="right"/>
        <w:rPr>
          <w:rFonts w:ascii="Times New Roman" w:eastAsia="Times New Roman" w:hAnsi="Times New Roman" w:cs="Times New Roman"/>
          <w:b/>
          <w:i/>
          <w:sz w:val="20"/>
          <w:szCs w:val="16"/>
        </w:rPr>
      </w:pPr>
      <w:r>
        <w:rPr>
          <w:noProof/>
        </w:rPr>
        <w:pict w14:anchorId="7D894FFE">
          <v:rect id="Rectangle 15" o:spid="_x0000_s2068" style="position:absolute;left:0;text-align:left;margin-left:.75pt;margin-top:.75pt;width:110.75pt;height:18.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">
            <v:textbox style="mso-next-textbox:#Rectangle 15" inset=",2.16pt,,2.16pt">
              <w:txbxContent>
                <w:p w14:paraId="7180777E" w14:textId="764BE6A8" w:rsidR="0061283B" w:rsidRPr="00AA1227" w:rsidRDefault="001C1531" w:rsidP="0061283B">
                  <w:pPr>
                    <w:jc w:val="center"/>
                    <w:rPr>
                      <w:rFonts w:ascii="Times New Roman" w:hAnsi="Times New Roman" w:cs="Times New Roman"/>
                      <w:b/>
                      <w:i/>
                      <w:sz w:val="20"/>
                    </w:rPr>
                  </w:pPr>
                  <w:r w:rsidRPr="001C1531">
                    <w:rPr>
                      <w:rFonts w:ascii="Times New Roman" w:hAnsi="Times New Roman" w:cs="Times New Roman"/>
                      <w:b/>
                      <w:i/>
                      <w:sz w:val="20"/>
                    </w:rPr>
                    <w:t>Review Article</w:t>
                  </w:r>
                </w:p>
              </w:txbxContent>
            </v:textbox>
          </v:rect>
        </w:pict>
      </w:r>
      <w:r w:rsidR="00453AB7" w:rsidRPr="002F7029">
        <w:rPr>
          <w:rFonts w:ascii="Times New Roman" w:eastAsia="Times New Roman" w:hAnsi="Times New Roman" w:cs="Times New Roman"/>
          <w:b/>
          <w:i/>
          <w:sz w:val="20"/>
          <w:szCs w:val="16"/>
        </w:rPr>
        <w:t xml:space="preserve">Accepted: </w:t>
      </w:r>
      <w:r w:rsidR="00AA4C26" w:rsidRPr="00AA4C26">
        <w:rPr>
          <w:rFonts w:ascii="Times New Roman" w:eastAsia="Times New Roman" w:hAnsi="Times New Roman" w:cs="Times New Roman"/>
          <w:b/>
          <w:i/>
          <w:sz w:val="20"/>
          <w:szCs w:val="16"/>
        </w:rPr>
        <w:t>24/10/2026</w:t>
      </w:r>
    </w:p>
    <w:p w14:paraId="2276BF72" w14:textId="5B52564D" w:rsidR="00444654" w:rsidRPr="002F7029" w:rsidRDefault="00444654" w:rsidP="00B821B1">
      <w:pPr>
        <w:tabs>
          <w:tab w:val="left" w:pos="360"/>
        </w:tabs>
        <w:autoSpaceDE w:val="0"/>
        <w:autoSpaceDN w:val="0"/>
        <w:adjustRightInd w:val="0"/>
        <w:spacing w:after="0" w:line="240" w:lineRule="auto"/>
        <w:jc w:val="right"/>
        <w:rPr>
          <w:rFonts w:ascii="Times New Roman" w:eastAsia="Times New Roman" w:hAnsi="Times New Roman" w:cs="Times New Roman"/>
          <w:b/>
          <w:i/>
          <w:sz w:val="24"/>
          <w:szCs w:val="20"/>
        </w:rPr>
      </w:pPr>
      <w:r w:rsidRPr="002F7029">
        <w:rPr>
          <w:rFonts w:ascii="Times New Roman" w:eastAsia="Times New Roman" w:hAnsi="Times New Roman" w:cs="Times New Roman"/>
          <w:b/>
          <w:i/>
          <w:sz w:val="20"/>
          <w:szCs w:val="16"/>
        </w:rPr>
        <w:t>Published</w:t>
      </w:r>
      <w:r w:rsidR="00593918" w:rsidRPr="002F7029">
        <w:rPr>
          <w:rFonts w:ascii="Times New Roman" w:eastAsia="Times New Roman" w:hAnsi="Times New Roman" w:cs="Times New Roman"/>
          <w:b/>
          <w:i/>
          <w:sz w:val="20"/>
          <w:szCs w:val="16"/>
        </w:rPr>
        <w:t>:</w:t>
      </w:r>
      <w:r w:rsidRPr="002F7029">
        <w:rPr>
          <w:rFonts w:ascii="Times New Roman" w:eastAsia="Times New Roman" w:hAnsi="Times New Roman" w:cs="Times New Roman"/>
          <w:b/>
          <w:i/>
          <w:sz w:val="20"/>
          <w:szCs w:val="16"/>
        </w:rPr>
        <w:t xml:space="preserve"> </w:t>
      </w:r>
      <w:r w:rsidR="00AA4C26" w:rsidRPr="00AA4C26">
        <w:rPr>
          <w:rFonts w:ascii="Times New Roman" w:eastAsia="Times New Roman" w:hAnsi="Times New Roman" w:cs="Times New Roman"/>
          <w:b/>
          <w:i/>
          <w:sz w:val="20"/>
          <w:szCs w:val="16"/>
        </w:rPr>
        <w:t>30/10/2026</w:t>
      </w:r>
    </w:p>
    <w:p w14:paraId="409B3F5F" w14:textId="2467EA4F" w:rsidR="00444654" w:rsidRPr="002F7029" w:rsidRDefault="00000000" w:rsidP="00B821B1">
      <w:pPr>
        <w:spacing w:after="0" w:line="240" w:lineRule="auto"/>
        <w:jc w:val="right"/>
        <w:rPr>
          <w:rFonts w:ascii="Times New Roman" w:eastAsia="Times New Roman" w:hAnsi="Times New Roman" w:cs="Times New Roman"/>
          <w:b/>
          <w:szCs w:val="20"/>
        </w:rPr>
      </w:pPr>
      <w:r>
        <w:pict w14:anchorId="491E19F6">
          <v:shape id="AutoShape 16" o:spid="_x0000_s2069" type="#_x0000_t32" style="width:450.7pt;height:.05pt;visibility:visible;mso-wrap-style:square;mso-left-percent:-10001;mso-top-percent:-10001;mso-position-horizontal:absolute;mso-position-horizontal-relative:char;mso-position-vertical:absolute;mso-position-vertical-relative:line;mso-left-percent:-10001;mso-top-percent:-10001" strokeweight="1.5pt">
            <w10:anchorlock/>
          </v:shape>
        </w:pict>
      </w:r>
    </w:p>
    <w:p w14:paraId="1EDAF9E1" w14:textId="77777777" w:rsidR="00444654" w:rsidRPr="002F7029" w:rsidRDefault="00444654" w:rsidP="00B821B1">
      <w:pPr>
        <w:spacing w:after="0" w:line="240" w:lineRule="auto"/>
        <w:rPr>
          <w:rFonts w:ascii="Times New Roman" w:eastAsia="Times New Roman" w:hAnsi="Times New Roman" w:cs="Times New Roman"/>
          <w:b/>
          <w:caps/>
          <w:sz w:val="20"/>
          <w:szCs w:val="20"/>
        </w:rPr>
      </w:pPr>
    </w:p>
    <w:p w14:paraId="51B0E276" w14:textId="47C7D9CC" w:rsidR="00444654" w:rsidRPr="002F7029" w:rsidRDefault="00B66F30" w:rsidP="00B821B1">
      <w:pPr>
        <w:pStyle w:val="Heading3"/>
        <w:keepNext w:val="0"/>
        <w:keepLines w:val="0"/>
        <w:rPr>
          <w:rFonts w:eastAsia="Times New Roman"/>
        </w:rPr>
      </w:pPr>
      <w:r w:rsidRPr="002F7029">
        <w:rPr>
          <w:rFonts w:eastAsia="Times New Roman"/>
        </w:rPr>
        <w:t>Abstract</w:t>
      </w:r>
    </w:p>
    <w:p w14:paraId="09ECABC7" w14:textId="77777777" w:rsidR="00444654" w:rsidRPr="002F7029" w:rsidRDefault="00444654" w:rsidP="00B821B1">
      <w:pPr>
        <w:spacing w:after="0" w:line="240" w:lineRule="auto"/>
        <w:rPr>
          <w:rFonts w:ascii="Times New Roman" w:eastAsia="Times New Roman" w:hAnsi="Times New Roman" w:cs="Times New Roman"/>
          <w:b/>
          <w:caps/>
          <w:sz w:val="17"/>
          <w:szCs w:val="17"/>
        </w:rPr>
      </w:pPr>
    </w:p>
    <w:p w14:paraId="044E50B6" w14:textId="06FDCF1D" w:rsidR="00934ADA" w:rsidRPr="002F7029" w:rsidRDefault="001C1531" w:rsidP="00B821B1">
      <w:pPr>
        <w:spacing w:after="0" w:line="240" w:lineRule="auto"/>
        <w:jc w:val="both"/>
        <w:rPr>
          <w:rFonts w:ascii="Times New Roman" w:eastAsia="Times New Roman" w:hAnsi="Times New Roman" w:cs="Times New Roman"/>
          <w:b/>
          <w:caps/>
          <w:sz w:val="17"/>
          <w:szCs w:val="17"/>
        </w:rPr>
      </w:pPr>
      <w:r w:rsidRPr="002F7029">
        <w:rPr>
          <w:rFonts w:ascii="Times New Roman" w:eastAsia="Calibri" w:hAnsi="Times New Roman" w:cs="Times New Roman"/>
          <w:sz w:val="17"/>
          <w:szCs w:val="17"/>
          <w:lang w:val="en-IN"/>
        </w:rPr>
        <w:t xml:space="preserve">Perennial fruit crops are exposed to climate change for decades after planting decisions are made, and their capacity for rapid adjustment is constrained by long juvenile periods, high establishment costs and clonal propagation. Declining winter chill, earlier flowering followed by spring frost, more frequent heat episodes, fruit sunburn, drought and the growing use of saline or reclaimed water now act simultaneously on many production regions. Adaptation research has expanded quickly, but it remains fragmented across breeding, rootstock physiology, canopy and microclimate engineering, and irrigation science. This critical </w:t>
      </w:r>
      <w:r w:rsidRPr="008D44F6">
        <w:rPr>
          <w:rFonts w:ascii="Times New Roman" w:eastAsia="Calibri" w:hAnsi="Times New Roman" w:cs="Times New Roman"/>
          <w:sz w:val="17"/>
          <w:szCs w:val="17"/>
          <w:lang w:val="en-IN"/>
        </w:rPr>
        <w:t>narrative</w:t>
      </w:r>
      <w:r w:rsidRPr="002F7029">
        <w:rPr>
          <w:rFonts w:ascii="Times New Roman" w:eastAsia="Calibri" w:hAnsi="Times New Roman" w:cs="Times New Roman"/>
          <w:sz w:val="17"/>
          <w:szCs w:val="17"/>
          <w:lang w:val="en-IN"/>
        </w:rPr>
        <w:t xml:space="preserve"> review </w:t>
      </w:r>
      <w:r w:rsidRPr="002F7029">
        <w:rPr>
          <w:rFonts w:ascii="Times New Roman" w:eastAsia="Calibri" w:hAnsi="Times New Roman" w:cs="Times New Roman"/>
          <w:sz w:val="17"/>
          <w:szCs w:val="17"/>
          <w:lang w:val="en-IN"/>
        </w:rPr>
        <w:lastRenderedPageBreak/>
        <w:t>examines how these four groups of levers can be combined to sustain yield stability, marketable fruit quality and water productivity in temperate deciduous fruit trees, grapevine, citrus and selected subtropical species. Peer-reviewed literature published from 2000 onwards was identified through multidisciplinary and life-science indexes, a regional scholarly platform, institutional sources and citation chaining, and was appraised qualitatively for design strength, scale, replication, measurement validity and transferability. The synthesis indicates that evidence is strongest for the physiological basis of chill and frost risk, for rootstock control of vigour, hydraulic supply and ion exclusion, for the sunburn-reducing effect of netting and evaporative cooling, and for water savings under regulated deficit irrigation during drought-tolerant phenological stages. Evidence is weaker, and frequently contradictory, for field-scale drought tolerance conferred by polyploid rootstocks, for the transferability of genomic prediction across environments, for agrivoltaic shading in orchards and for the long-term sustainability of irrigation with marginal water. Interactions among levers are rarely tested directly, although several trade-offs are consistently reported, including reduced red colour under protective nets, greater frost exposure of low-chill or early-flowering genotypes and increased sunburn risk when water deficit coincides with heat. Most field evidence is short in duration, concentrated in Mediterranean-type and temperate regions of the Northern Hemisphere and focused on a narrow set of cultivars. Multi-site, multi-season factorial trials, standardised plant-based stress indicators, phenology models calibrated for cultivars and rootstocks, and economic evaluation of combined adaptation packages are required before integrated recommendations can be made with confidence.</w:t>
      </w:r>
    </w:p>
    <w:p w14:paraId="482F14C8" w14:textId="77777777" w:rsidR="00934ADA" w:rsidRPr="00B821B1" w:rsidRDefault="00934ADA" w:rsidP="00B821B1">
      <w:pPr>
        <w:spacing w:after="0" w:line="240" w:lineRule="auto"/>
        <w:rPr>
          <w:rFonts w:ascii="Times New Roman" w:eastAsia="Times New Roman" w:hAnsi="Times New Roman" w:cs="Times New Roman"/>
          <w:b/>
          <w:caps/>
          <w:sz w:val="20"/>
          <w:szCs w:val="20"/>
        </w:rPr>
      </w:pPr>
    </w:p>
    <w:p w14:paraId="5C9C9E32" w14:textId="3A19EC6C" w:rsidR="00AB5348" w:rsidRPr="002F7029" w:rsidRDefault="00444654" w:rsidP="00B821B1">
      <w:pPr>
        <w:spacing w:after="0" w:line="240" w:lineRule="auto"/>
        <w:ind w:left="1080" w:hanging="1080"/>
        <w:contextualSpacing/>
        <w:jc w:val="both"/>
        <w:rPr>
          <w:rFonts w:ascii="Times New Roman" w:eastAsia="Times New Roman" w:hAnsi="Times New Roman" w:cs="Times New Roman"/>
          <w:bCs/>
          <w:i/>
          <w:iCs/>
          <w:sz w:val="17"/>
          <w:szCs w:val="17"/>
        </w:rPr>
      </w:pPr>
      <w:r w:rsidRPr="002F7029">
        <w:rPr>
          <w:rFonts w:ascii="Times New Roman" w:eastAsia="Times New Roman" w:hAnsi="Times New Roman" w:cs="Times New Roman"/>
          <w:i/>
          <w:sz w:val="17"/>
          <w:szCs w:val="17"/>
        </w:rPr>
        <w:t>Keywords:</w:t>
      </w:r>
      <w:r w:rsidR="001C1531" w:rsidRPr="002F7029">
        <w:rPr>
          <w:rFonts w:ascii="Times New Roman" w:eastAsia="Times New Roman" w:hAnsi="Times New Roman" w:cs="Times New Roman"/>
          <w:i/>
          <w:sz w:val="17"/>
          <w:szCs w:val="17"/>
        </w:rPr>
        <w:tab/>
      </w:r>
      <w:r w:rsidR="001C1531" w:rsidRPr="002F7029">
        <w:rPr>
          <w:rFonts w:ascii="Times New Roman" w:eastAsia="Times New Roman" w:hAnsi="Times New Roman" w:cs="Times New Roman"/>
          <w:bCs/>
          <w:i/>
          <w:iCs/>
          <w:sz w:val="17"/>
          <w:szCs w:val="17"/>
          <w:lang w:val="en-IN"/>
        </w:rPr>
        <w:t>Winter chill; rootstock–scion interaction; protective netting; regulated deficit irrigation; fruit sunburn; genomic prediction; orchard microclimate; perennial crop adaptation</w:t>
      </w:r>
      <w:r w:rsidR="00AB5348" w:rsidRPr="002F7029">
        <w:rPr>
          <w:rFonts w:ascii="Times New Roman" w:eastAsia="Times New Roman" w:hAnsi="Times New Roman" w:cs="Times New Roman"/>
          <w:bCs/>
          <w:i/>
          <w:iCs/>
          <w:sz w:val="17"/>
          <w:szCs w:val="17"/>
        </w:rPr>
        <w:t>.</w:t>
      </w:r>
    </w:p>
    <w:p w14:paraId="1A853032" w14:textId="77777777" w:rsidR="001C1531" w:rsidRPr="00B821B1" w:rsidRDefault="001C1531" w:rsidP="00B821B1">
      <w:pPr>
        <w:spacing w:after="0" w:line="240" w:lineRule="auto"/>
        <w:ind w:left="1080" w:hanging="1080"/>
        <w:contextualSpacing/>
        <w:jc w:val="both"/>
        <w:rPr>
          <w:rFonts w:ascii="Times New Roman" w:eastAsia="Times New Roman" w:hAnsi="Times New Roman" w:cs="Times New Roman"/>
          <w:bCs/>
          <w:i/>
          <w:iCs/>
          <w:sz w:val="20"/>
          <w:szCs w:val="20"/>
        </w:rPr>
      </w:pPr>
    </w:p>
    <w:p w14:paraId="56438556" w14:textId="77777777" w:rsidR="001C1531" w:rsidRPr="002F7029" w:rsidRDefault="001C1531" w:rsidP="00B821B1">
      <w:pPr>
        <w:pStyle w:val="Heading3"/>
        <w:keepNext w:val="0"/>
        <w:keepLines w:val="0"/>
        <w:rPr>
          <w:rFonts w:eastAsia="Times New Roman"/>
          <w:lang w:val="en-IN"/>
        </w:rPr>
      </w:pPr>
      <w:r w:rsidRPr="002F7029">
        <w:rPr>
          <w:rFonts w:eastAsia="Times New Roman"/>
          <w:lang w:val="en-IN"/>
        </w:rPr>
        <w:t>1. Introduction</w:t>
      </w:r>
    </w:p>
    <w:p w14:paraId="40BD25C5" w14:textId="77777777" w:rsidR="001C1531" w:rsidRPr="00B821B1" w:rsidRDefault="001C1531" w:rsidP="00B821B1">
      <w:pPr>
        <w:spacing w:after="0" w:line="240" w:lineRule="auto"/>
        <w:contextualSpacing/>
        <w:jc w:val="both"/>
        <w:rPr>
          <w:rFonts w:ascii="Times New Roman" w:eastAsia="Times New Roman" w:hAnsi="Times New Roman" w:cs="Times New Roman"/>
          <w:b/>
          <w:bCs/>
          <w:sz w:val="20"/>
          <w:szCs w:val="20"/>
          <w:lang w:val="en-IN"/>
        </w:rPr>
      </w:pPr>
    </w:p>
    <w:p w14:paraId="3029E359"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Fruit orchards and vineyards differ from annual cropping systems in one decisive respect: the genotype, rootstock, planting density and irrigation infrastructure selected at establishment remain in place for fifteen to forty years, so adaptation must anticipate climatic conditions that will prevail well beyond the planning horizon of most farm decisions. Model-based assessments for California concluded that perennial cropping systems are less adaptable than annual systems and therefore potentially more susceptible to climate damage, while also noting that yield projections carry wide uncertainties derived from both climate and crop models (Lobell &amp; Field, 2011; Lobell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2006). Statistical analyses of the same production region subsequently showed that ozone exposure and climate variables jointly shape perennial crop yields, which illustrates that climatic stress rarely acts in isolation (Hong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2020). Fruit quality is equally sensitive. A longitudinal analysis of Swiss orchards demonstrated that weather extremes can affect farm revenue more strongly through quality-related price penalties than through yield losses, so that impact assessments focused only on tonnage substantially misrepresent the economic exposure of growers (</w:t>
      </w:r>
      <w:proofErr w:type="spellStart"/>
      <w:r w:rsidRPr="002F7029">
        <w:rPr>
          <w:rFonts w:ascii="Times New Roman" w:eastAsia="Times New Roman" w:hAnsi="Times New Roman" w:cs="Times New Roman"/>
          <w:bCs/>
          <w:sz w:val="17"/>
          <w:szCs w:val="17"/>
          <w:lang w:val="en-IN"/>
        </w:rPr>
        <w:t>Dalhaus</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A recent assessment of major apple-producing regions in the United States identified concurrent changes in climate indicators relevant to dormancy, flowering and fruit development, while not directly quantifying their effects on production (Preston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2024).</w:t>
      </w:r>
    </w:p>
    <w:p w14:paraId="6FA86763" w14:textId="77777777" w:rsidR="001C1531" w:rsidRPr="00B821B1" w:rsidRDefault="001C1531" w:rsidP="00B821B1">
      <w:pPr>
        <w:spacing w:after="0" w:line="240" w:lineRule="auto"/>
        <w:contextualSpacing/>
        <w:jc w:val="both"/>
        <w:rPr>
          <w:rFonts w:ascii="Times New Roman" w:eastAsia="Times New Roman" w:hAnsi="Times New Roman" w:cs="Times New Roman"/>
          <w:bCs/>
          <w:sz w:val="20"/>
          <w:szCs w:val="20"/>
          <w:lang w:val="en-IN"/>
        </w:rPr>
      </w:pPr>
    </w:p>
    <w:p w14:paraId="5203ACB7"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Evidence that climate change is already altering fruit production is now available from several regions. Institutional surveys in Japan reported warming effects on fruit tree cultivation in every prefecture, including phenological shifts and more frequent fruit colouring disorders (Sugiura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2012). Records covering three to four decades revealed declining acidity, firmness and </w:t>
      </w:r>
      <w:proofErr w:type="spellStart"/>
      <w:r w:rsidRPr="002F7029">
        <w:rPr>
          <w:rFonts w:ascii="Times New Roman" w:eastAsia="Times New Roman" w:hAnsi="Times New Roman" w:cs="Times New Roman"/>
          <w:bCs/>
          <w:sz w:val="17"/>
          <w:szCs w:val="17"/>
          <w:lang w:val="en-IN"/>
        </w:rPr>
        <w:t>watercore</w:t>
      </w:r>
      <w:proofErr w:type="spellEnd"/>
      <w:r w:rsidRPr="002F7029">
        <w:rPr>
          <w:rFonts w:ascii="Times New Roman" w:eastAsia="Times New Roman" w:hAnsi="Times New Roman" w:cs="Times New Roman"/>
          <w:bCs/>
          <w:sz w:val="17"/>
          <w:szCs w:val="17"/>
          <w:lang w:val="en-IN"/>
        </w:rPr>
        <w:t xml:space="preserve"> development in Japanese apples, changes attributed to earlier blooming and higher temperatures during fruit maturation (Sugiura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2013). In the Indian Himalaya, apple orchards in Himachal Pradesh have moved progressively to higher elevations as optimum growing conditions have shifted upslope (Sahu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2020). Warmer winters have also been linked to erratic flowering and bud break in Japanese pear (</w:t>
      </w:r>
      <w:r w:rsidRPr="002F7029">
        <w:rPr>
          <w:rFonts w:ascii="Times New Roman" w:eastAsia="Times New Roman" w:hAnsi="Times New Roman" w:cs="Times New Roman"/>
          <w:bCs/>
          <w:i/>
          <w:iCs/>
          <w:sz w:val="17"/>
          <w:szCs w:val="17"/>
          <w:lang w:val="en-IN"/>
        </w:rPr>
        <w:t xml:space="preserve">Pyrus </w:t>
      </w:r>
      <w:proofErr w:type="spellStart"/>
      <w:r w:rsidRPr="002F7029">
        <w:rPr>
          <w:rFonts w:ascii="Times New Roman" w:eastAsia="Times New Roman" w:hAnsi="Times New Roman" w:cs="Times New Roman"/>
          <w:bCs/>
          <w:i/>
          <w:iCs/>
          <w:sz w:val="17"/>
          <w:szCs w:val="17"/>
          <w:lang w:val="en-IN"/>
        </w:rPr>
        <w:t>pyrifolia</w:t>
      </w:r>
      <w:proofErr w:type="spellEnd"/>
      <w:r w:rsidRPr="002F7029">
        <w:rPr>
          <w:rFonts w:ascii="Times New Roman" w:eastAsia="Times New Roman" w:hAnsi="Times New Roman" w:cs="Times New Roman"/>
          <w:bCs/>
          <w:sz w:val="17"/>
          <w:szCs w:val="17"/>
          <w:lang w:val="en-IN"/>
        </w:rPr>
        <w:t xml:space="preserve"> (</w:t>
      </w:r>
      <w:proofErr w:type="spellStart"/>
      <w:r w:rsidRPr="002F7029">
        <w:rPr>
          <w:rFonts w:ascii="Times New Roman" w:eastAsia="Times New Roman" w:hAnsi="Times New Roman" w:cs="Times New Roman"/>
          <w:bCs/>
          <w:sz w:val="17"/>
          <w:szCs w:val="17"/>
          <w:lang w:val="en-IN"/>
        </w:rPr>
        <w:t>Burm.f</w:t>
      </w:r>
      <w:proofErr w:type="spellEnd"/>
      <w:r w:rsidRPr="002F7029">
        <w:rPr>
          <w:rFonts w:ascii="Times New Roman" w:eastAsia="Times New Roman" w:hAnsi="Times New Roman" w:cs="Times New Roman"/>
          <w:bCs/>
          <w:sz w:val="17"/>
          <w:szCs w:val="17"/>
          <w:lang w:val="en-IN"/>
        </w:rPr>
        <w:t xml:space="preserve">.) Nakai), a disorder that occurs more often in warm years and at lower latitudes (Tominaga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2022). These observations confirm that climatic exposure is not only a projection but an ongoing production problem. An analysis of historical apple production in France likewise found that responses to warming differed among regions and that heat-stress mitigation was particularly important in hotter Mediterranean areas (</w:t>
      </w:r>
      <w:proofErr w:type="spellStart"/>
      <w:r w:rsidRPr="002F7029">
        <w:rPr>
          <w:rFonts w:ascii="Times New Roman" w:eastAsia="Times New Roman" w:hAnsi="Times New Roman" w:cs="Times New Roman"/>
          <w:bCs/>
          <w:sz w:val="17"/>
          <w:szCs w:val="17"/>
          <w:lang w:val="en-IN"/>
        </w:rPr>
        <w:t>Giguère</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2026).</w:t>
      </w:r>
    </w:p>
    <w:p w14:paraId="66A86DC2" w14:textId="77777777" w:rsidR="001C1531" w:rsidRPr="00B821B1" w:rsidRDefault="001C1531" w:rsidP="00B821B1">
      <w:pPr>
        <w:spacing w:after="0" w:line="240" w:lineRule="auto"/>
        <w:contextualSpacing/>
        <w:jc w:val="both"/>
        <w:rPr>
          <w:rFonts w:ascii="Times New Roman" w:eastAsia="Times New Roman" w:hAnsi="Times New Roman" w:cs="Times New Roman"/>
          <w:bCs/>
          <w:sz w:val="20"/>
          <w:szCs w:val="20"/>
          <w:lang w:val="en-IN"/>
        </w:rPr>
      </w:pPr>
    </w:p>
    <w:p w14:paraId="7205CB15"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In this review, climate resilience refers to the capacity of an orchard system to maintain yield, marketable quality and resource-use efficiency under climatic variability and extremes, to recover after damaging events and, where necessary, to be reconfigured for a different climate. The definition draws on the distinction between resilience, adaptability and transformability in social–ecological systems (Walker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2004) and on the climate-smart agriculture framework, which links productivity, adaptation and mitigation objectives (Lipper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2014). Water-smart horticulture is used here to describe the deliberate management of orchard water supply, crop water demand and water productivity through deficit irrigation, plant-based monitoring, alternative water sources and soil-water conservation, an agenda that has been central to irrigation science since deficit irrigation was reframed as a tool for maximising production per unit of water consumed (</w:t>
      </w:r>
      <w:proofErr w:type="spellStart"/>
      <w:r w:rsidRPr="002F7029">
        <w:rPr>
          <w:rFonts w:ascii="Times New Roman" w:eastAsia="Times New Roman" w:hAnsi="Times New Roman" w:cs="Times New Roman"/>
          <w:bCs/>
          <w:sz w:val="17"/>
          <w:szCs w:val="17"/>
          <w:lang w:val="en-IN"/>
        </w:rPr>
        <w:t>Fereres</w:t>
      </w:r>
      <w:proofErr w:type="spellEnd"/>
      <w:r w:rsidRPr="002F7029">
        <w:rPr>
          <w:rFonts w:ascii="Times New Roman" w:eastAsia="Times New Roman" w:hAnsi="Times New Roman" w:cs="Times New Roman"/>
          <w:bCs/>
          <w:sz w:val="17"/>
          <w:szCs w:val="17"/>
          <w:lang w:val="en-IN"/>
        </w:rPr>
        <w:t xml:space="preserve"> &amp; Soriano, 2007; J. E. Fernández, 2017).</w:t>
      </w:r>
    </w:p>
    <w:p w14:paraId="24E7717B" w14:textId="77777777" w:rsidR="001C1531" w:rsidRPr="00B821B1" w:rsidRDefault="001C1531" w:rsidP="00B821B1">
      <w:pPr>
        <w:spacing w:after="0" w:line="240" w:lineRule="auto"/>
        <w:contextualSpacing/>
        <w:jc w:val="both"/>
        <w:rPr>
          <w:rFonts w:ascii="Times New Roman" w:eastAsia="Times New Roman" w:hAnsi="Times New Roman" w:cs="Times New Roman"/>
          <w:bCs/>
          <w:sz w:val="20"/>
          <w:szCs w:val="20"/>
          <w:lang w:val="en-IN"/>
        </w:rPr>
      </w:pPr>
    </w:p>
    <w:p w14:paraId="634CE654"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The adaptation literature has grown rapidly. A systematic review of climate change effects on temperate fruit and nut crops analysed 403 articles published between 2000 and 2023 and documented a 44-fold increase in the number of publications over the preceding two decades (Osorio-Marín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2024). Much of this literature, however, is organised around impacts rather than solutions, or around single adaptation levers. Reviews of Mediterranean woody crops, olive orchards and viticulture have catalogued climatic impacts and listed adaptation options without examining how those options interact (Fraga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2021; Medda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2022; Santos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van Leeuwen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2024). Lever-specific reviews have examined protective netting (Manja &amp; Aoun, 2019; </w:t>
      </w:r>
      <w:proofErr w:type="spellStart"/>
      <w:r w:rsidRPr="002F7029">
        <w:rPr>
          <w:rFonts w:ascii="Times New Roman" w:eastAsia="Times New Roman" w:hAnsi="Times New Roman" w:cs="Times New Roman"/>
          <w:bCs/>
          <w:sz w:val="17"/>
          <w:szCs w:val="17"/>
          <w:lang w:val="en-IN"/>
        </w:rPr>
        <w:t>Mupambi</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2018), rootstock–scion interactions (Albacete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2015; </w:t>
      </w:r>
      <w:proofErr w:type="spellStart"/>
      <w:r w:rsidRPr="002F7029">
        <w:rPr>
          <w:rFonts w:ascii="Times New Roman" w:eastAsia="Times New Roman" w:hAnsi="Times New Roman" w:cs="Times New Roman"/>
          <w:bCs/>
          <w:sz w:val="17"/>
          <w:szCs w:val="17"/>
          <w:lang w:val="en-IN"/>
        </w:rPr>
        <w:t>Warschefsky</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2016), deficit irrigation (</w:t>
      </w:r>
      <w:proofErr w:type="spellStart"/>
      <w:r w:rsidRPr="002F7029">
        <w:rPr>
          <w:rFonts w:ascii="Times New Roman" w:eastAsia="Times New Roman" w:hAnsi="Times New Roman" w:cs="Times New Roman"/>
          <w:bCs/>
          <w:sz w:val="17"/>
          <w:szCs w:val="17"/>
          <w:lang w:val="en-IN"/>
        </w:rPr>
        <w:t>Fereres</w:t>
      </w:r>
      <w:proofErr w:type="spellEnd"/>
      <w:r w:rsidRPr="002F7029">
        <w:rPr>
          <w:rFonts w:ascii="Times New Roman" w:eastAsia="Times New Roman" w:hAnsi="Times New Roman" w:cs="Times New Roman"/>
          <w:bCs/>
          <w:sz w:val="17"/>
          <w:szCs w:val="17"/>
          <w:lang w:val="en-IN"/>
        </w:rPr>
        <w:t xml:space="preserve"> &amp; Soriano, 2007; Ruiz-Sánchez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2010) and genomics-assisted fruit breeding (Iwata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2016), while a recent perspective has proposed genomic offset analysis as a forecasting tool for fruit tree maladaptation (Criado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2026). A detailed account of meteorological responses of fruit trees has also been published for Japanese conditions (Sugiura, 2025). A multi-season field study of deficit-irrigated grapevines also showed that rootstock selection can influence vine hydraulic behaviour, water use and yield sensitivity under restricted irrigation (Romero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2025).</w:t>
      </w:r>
    </w:p>
    <w:p w14:paraId="182D0E8B"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lastRenderedPageBreak/>
        <w:t>Three features of this literature justify a further, critical synthesis. First, several central findings are contested. Winter chill models are not interchangeable, so estimates of chill loss depend on the model chosen (</w:t>
      </w:r>
      <w:proofErr w:type="spellStart"/>
      <w:r w:rsidRPr="002F7029">
        <w:rPr>
          <w:rFonts w:ascii="Times New Roman" w:eastAsia="Times New Roman" w:hAnsi="Times New Roman" w:cs="Times New Roman"/>
          <w:bCs/>
          <w:sz w:val="17"/>
          <w:szCs w:val="17"/>
          <w:lang w:val="en-IN"/>
        </w:rPr>
        <w:t>Luedeling</w:t>
      </w:r>
      <w:proofErr w:type="spellEnd"/>
      <w:r w:rsidRPr="002F7029">
        <w:rPr>
          <w:rFonts w:ascii="Times New Roman" w:eastAsia="Times New Roman" w:hAnsi="Times New Roman" w:cs="Times New Roman"/>
          <w:bCs/>
          <w:sz w:val="17"/>
          <w:szCs w:val="17"/>
          <w:lang w:val="en-IN"/>
        </w:rPr>
        <w:t xml:space="preserve"> &amp; Brown, 2011). Spring frost risk is projected to increase in some regions and to remain broadly persistent in others, depending on cultivar phenology and local climate (Caspersen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2025; Pfleiderer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2019; Zohner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2020). Drought tolerance attributed to tetraploid citrus rootstocks in early experiments has not been reproduced consistently when plants compete for soil water (</w:t>
      </w:r>
      <w:proofErr w:type="spellStart"/>
      <w:r w:rsidRPr="002F7029">
        <w:rPr>
          <w:rFonts w:ascii="Times New Roman" w:eastAsia="Times New Roman" w:hAnsi="Times New Roman" w:cs="Times New Roman"/>
          <w:bCs/>
          <w:sz w:val="17"/>
          <w:szCs w:val="17"/>
          <w:lang w:val="en-IN"/>
        </w:rPr>
        <w:t>Allario</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2013; da Silva Costa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2025), and projections of large losses in viticultural suitability have been challenged for neglecting adaptive capacity (Hannah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2013; van Leeuwen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2013). Second, the four groups of levers act on the same physiological pathways, namely tree water status, canopy and fruit energy balance, and phenological timing, so their effects are unlikely to be additive. Measures that mitigate one hazard can intensify another, as illustrated by the trade-off between sunburn protection and red colour development in apple (</w:t>
      </w:r>
      <w:proofErr w:type="spellStart"/>
      <w:r w:rsidRPr="002F7029">
        <w:rPr>
          <w:rFonts w:ascii="Times New Roman" w:eastAsia="Times New Roman" w:hAnsi="Times New Roman" w:cs="Times New Roman"/>
          <w:bCs/>
          <w:sz w:val="17"/>
          <w:szCs w:val="17"/>
          <w:lang w:val="en-IN"/>
        </w:rPr>
        <w:t>Willsea</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2023). Third, most evidence derives from short experiments on a small number of cultivars, which limits confidence in recommendations intended to guide decades-long investments. A comparison of cooling and netting strategies in a commercial apple orchard further identified differences in fruit surface temperature and fruit-quality responses among heat-mitigation treatments (</w:t>
      </w:r>
      <w:proofErr w:type="spellStart"/>
      <w:r w:rsidRPr="002F7029">
        <w:rPr>
          <w:rFonts w:ascii="Times New Roman" w:eastAsia="Times New Roman" w:hAnsi="Times New Roman" w:cs="Times New Roman"/>
          <w:bCs/>
          <w:sz w:val="17"/>
          <w:szCs w:val="17"/>
          <w:lang w:val="en-IN"/>
        </w:rPr>
        <w:t>Amogi</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2025).</w:t>
      </w:r>
    </w:p>
    <w:p w14:paraId="77FD9087"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13939ECD"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1.1 Scope, Research Gap and Objectives</w:t>
      </w:r>
    </w:p>
    <w:p w14:paraId="21C93DFA" w14:textId="77777777" w:rsidR="001C1531" w:rsidRPr="002F7029" w:rsidRDefault="001C1531" w:rsidP="00B821B1">
      <w:pPr>
        <w:spacing w:after="0" w:line="240" w:lineRule="auto"/>
        <w:contextualSpacing/>
        <w:jc w:val="both"/>
        <w:rPr>
          <w:rFonts w:ascii="Times New Roman" w:eastAsia="Times New Roman" w:hAnsi="Times New Roman" w:cs="Times New Roman"/>
          <w:b/>
          <w:bCs/>
          <w:i/>
          <w:iCs/>
          <w:sz w:val="17"/>
          <w:szCs w:val="17"/>
          <w:lang w:val="en-IN"/>
        </w:rPr>
      </w:pPr>
    </w:p>
    <w:p w14:paraId="213FC9B5"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This review addresses woody perennial fruit crops, with emphasis on temperate deciduous species such as apple, pear and stone fruits, on grapevine and citrus, and with selected evidence from olive, almond and avocado where it clarifies general mechanisms. The climatic hazards considered are declining winter chill, spring frost following advanced phenology, heat and fruit sunburn, drought and rising evaporative demand, and salinity associated with marginal irrigation water, together with combinations of these hazards. Four groups of adaptation levers are examined: genetic improvement and cultivar choice, rootstock selection and breeding, canopy and microclimate management, and water-smart irrigation and soil-water management. The specific gap addressed is the absence of a critical, interaction-centred appraisal that evaluates these levers together, distinguishes well-supported conclusions from preliminary or context-specific findings, and identifies where the combination of levers is likely to be synergistic, neutral or counterproductive. Pest and disease dynamics, postharvest physiology, greenhouse-grown soft fruit, socioeconomic adoption studies and orchard greenhouse-gas mitigation are outside the scope, except where they directly condition the interpretation of the four levers. The objectives are to define the physiological basis through which each hazard affects fruit production, to appraise the strength and limitations of the evidence supporting each lever, to examine documented and plausible interactions among levers, and to identify research priorities capable of supporting integrated adaptation decisions.</w:t>
      </w:r>
    </w:p>
    <w:p w14:paraId="4217C2B5"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2729F72D" w14:textId="77777777" w:rsidR="001C1531" w:rsidRPr="002F7029" w:rsidRDefault="001C1531" w:rsidP="00B821B1">
      <w:pPr>
        <w:pStyle w:val="Heading3"/>
        <w:keepNext w:val="0"/>
        <w:keepLines w:val="0"/>
        <w:rPr>
          <w:rFonts w:eastAsia="Times New Roman"/>
          <w:lang w:val="en-IN"/>
        </w:rPr>
      </w:pPr>
      <w:r w:rsidRPr="002F7029">
        <w:rPr>
          <w:rFonts w:eastAsia="Times New Roman"/>
          <w:lang w:val="en-IN"/>
        </w:rPr>
        <w:t>2. Methods for Literature Selection</w:t>
      </w:r>
    </w:p>
    <w:p w14:paraId="7A4021F4" w14:textId="77777777" w:rsidR="001C1531" w:rsidRPr="002F7029" w:rsidRDefault="001C1531" w:rsidP="00B821B1">
      <w:pPr>
        <w:spacing w:after="0" w:line="240" w:lineRule="auto"/>
        <w:contextualSpacing/>
        <w:jc w:val="both"/>
        <w:rPr>
          <w:rFonts w:ascii="Times New Roman" w:eastAsia="Times New Roman" w:hAnsi="Times New Roman" w:cs="Times New Roman"/>
          <w:b/>
          <w:bCs/>
          <w:sz w:val="17"/>
          <w:szCs w:val="17"/>
          <w:lang w:val="en-IN"/>
        </w:rPr>
      </w:pPr>
    </w:p>
    <w:p w14:paraId="0FFC4BB2"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2.1 Review Design and Rationale</w:t>
      </w:r>
    </w:p>
    <w:p w14:paraId="471363F5" w14:textId="77777777" w:rsidR="001C1531" w:rsidRPr="002F7029" w:rsidRDefault="001C1531" w:rsidP="00B821B1">
      <w:pPr>
        <w:spacing w:after="0" w:line="240" w:lineRule="auto"/>
        <w:contextualSpacing/>
        <w:jc w:val="both"/>
        <w:rPr>
          <w:rFonts w:ascii="Times New Roman" w:eastAsia="Times New Roman" w:hAnsi="Times New Roman" w:cs="Times New Roman"/>
          <w:b/>
          <w:bCs/>
          <w:i/>
          <w:iCs/>
          <w:sz w:val="17"/>
          <w:szCs w:val="17"/>
          <w:lang w:val="en-IN"/>
        </w:rPr>
      </w:pPr>
    </w:p>
    <w:p w14:paraId="5CF0B70A"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A critical narrative review design was adopted because the question concerns heterogeneous evidence that spans molecular genetics, whole-plant physiology, agronomic field trials, climate projections and economic assessments. These study types do not share common effect metrics or comparators, which precludes meaningful statistical pooling and would make a single systematic-review protocol either too narrow to address interactions among levers or too broad to be applied consistently. Narrative reviews are well suited to interpreting such heterogeneous literature, to examining contradictions and to building conceptual frameworks, provided that the search and appraisal processes are transparent (Greenhalgh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2018; Sukhera, 2022). The design and reporting of this review were guided by the quality criteria of the Scale for the Assessment of Narrative Review Articles, which emphasises explicit statement of aims, description of the literature search, appropriate referencing, scientific reasoning and relevant presentation of data (</w:t>
      </w:r>
      <w:proofErr w:type="spellStart"/>
      <w:r w:rsidRPr="002F7029">
        <w:rPr>
          <w:rFonts w:ascii="Times New Roman" w:eastAsia="Times New Roman" w:hAnsi="Times New Roman" w:cs="Times New Roman"/>
          <w:bCs/>
          <w:sz w:val="17"/>
          <w:szCs w:val="17"/>
          <w:lang w:val="en-IN"/>
        </w:rPr>
        <w:t>Baethge</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2019). The narrative design does not remove the need for transparency or critical appraisal, and both are documented in the following subsections.</w:t>
      </w:r>
    </w:p>
    <w:p w14:paraId="756A038F"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19AAF07F"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2.2 Information Sources</w:t>
      </w:r>
    </w:p>
    <w:p w14:paraId="215A34BD" w14:textId="77777777" w:rsidR="001C1531" w:rsidRPr="002F7029" w:rsidRDefault="001C1531" w:rsidP="00B821B1">
      <w:pPr>
        <w:spacing w:after="0" w:line="240" w:lineRule="auto"/>
        <w:contextualSpacing/>
        <w:jc w:val="both"/>
        <w:rPr>
          <w:rFonts w:ascii="Times New Roman" w:eastAsia="Times New Roman" w:hAnsi="Times New Roman" w:cs="Times New Roman"/>
          <w:b/>
          <w:bCs/>
          <w:i/>
          <w:iCs/>
          <w:sz w:val="17"/>
          <w:szCs w:val="17"/>
          <w:lang w:val="en-IN"/>
        </w:rPr>
      </w:pPr>
    </w:p>
    <w:p w14:paraId="4DD90743"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Literature was identified through </w:t>
      </w:r>
      <w:proofErr w:type="spellStart"/>
      <w:r w:rsidRPr="002F7029">
        <w:rPr>
          <w:rFonts w:ascii="Times New Roman" w:eastAsia="Times New Roman" w:hAnsi="Times New Roman" w:cs="Times New Roman"/>
          <w:bCs/>
          <w:sz w:val="17"/>
          <w:szCs w:val="17"/>
          <w:lang w:val="en-IN"/>
        </w:rPr>
        <w:t>OpenAlex</w:t>
      </w:r>
      <w:proofErr w:type="spellEnd"/>
      <w:r w:rsidRPr="002F7029">
        <w:rPr>
          <w:rFonts w:ascii="Times New Roman" w:eastAsia="Times New Roman" w:hAnsi="Times New Roman" w:cs="Times New Roman"/>
          <w:bCs/>
          <w:sz w:val="17"/>
          <w:szCs w:val="17"/>
          <w:lang w:val="en-IN"/>
        </w:rPr>
        <w:t xml:space="preserve">, </w:t>
      </w:r>
      <w:proofErr w:type="spellStart"/>
      <w:r w:rsidRPr="002F7029">
        <w:rPr>
          <w:rFonts w:ascii="Times New Roman" w:eastAsia="Times New Roman" w:hAnsi="Times New Roman" w:cs="Times New Roman"/>
          <w:bCs/>
          <w:sz w:val="17"/>
          <w:szCs w:val="17"/>
          <w:lang w:val="en-IN"/>
        </w:rPr>
        <w:t>Crossref</w:t>
      </w:r>
      <w:proofErr w:type="spellEnd"/>
      <w:r w:rsidRPr="002F7029">
        <w:rPr>
          <w:rFonts w:ascii="Times New Roman" w:eastAsia="Times New Roman" w:hAnsi="Times New Roman" w:cs="Times New Roman"/>
          <w:bCs/>
          <w:sz w:val="17"/>
          <w:szCs w:val="17"/>
          <w:lang w:val="en-IN"/>
        </w:rPr>
        <w:t xml:space="preserve">, Europe PMC, PubMed, </w:t>
      </w:r>
      <w:proofErr w:type="spellStart"/>
      <w:r w:rsidRPr="002F7029">
        <w:rPr>
          <w:rFonts w:ascii="Times New Roman" w:eastAsia="Times New Roman" w:hAnsi="Times New Roman" w:cs="Times New Roman"/>
          <w:bCs/>
          <w:sz w:val="17"/>
          <w:szCs w:val="17"/>
          <w:lang w:val="en-IN"/>
        </w:rPr>
        <w:t>OpenAIRE</w:t>
      </w:r>
      <w:proofErr w:type="spellEnd"/>
      <w:r w:rsidRPr="002F7029">
        <w:rPr>
          <w:rFonts w:ascii="Times New Roman" w:eastAsia="Times New Roman" w:hAnsi="Times New Roman" w:cs="Times New Roman"/>
          <w:bCs/>
          <w:sz w:val="17"/>
          <w:szCs w:val="17"/>
          <w:lang w:val="en-IN"/>
        </w:rPr>
        <w:t xml:space="preserve">, the Directory of Open Access Journals (DOAJ), Google Scholar and Semantic Scholar. J-STAGE was searched as a topic-specific regional platform because Japanese horticultural and agricultural meteorology journals contain long-term observational and adaptation studies on fruit trees that are less visible in international indexes. Institutional publications of the Food and Agriculture Organization of the United Nations were consulted for irrigation guidance. Database searching was supplemented by backward citation searching of recent reviews and key primary studies, forward citation searching of seminal papers on winter chill, rootstock hydraulics and deficit irrigation, related-article searching, and screening of reference lists in high-quality reviews. Bibliographic metadata, digital object identifiers and post-publication notices such as corrections and retractions were checked against </w:t>
      </w:r>
      <w:proofErr w:type="spellStart"/>
      <w:r w:rsidRPr="002F7029">
        <w:rPr>
          <w:rFonts w:ascii="Times New Roman" w:eastAsia="Times New Roman" w:hAnsi="Times New Roman" w:cs="Times New Roman"/>
          <w:bCs/>
          <w:sz w:val="17"/>
          <w:szCs w:val="17"/>
          <w:lang w:val="en-IN"/>
        </w:rPr>
        <w:t>Crossref</w:t>
      </w:r>
      <w:proofErr w:type="spellEnd"/>
      <w:r w:rsidRPr="002F7029">
        <w:rPr>
          <w:rFonts w:ascii="Times New Roman" w:eastAsia="Times New Roman" w:hAnsi="Times New Roman" w:cs="Times New Roman"/>
          <w:bCs/>
          <w:sz w:val="17"/>
          <w:szCs w:val="17"/>
          <w:lang w:val="en-IN"/>
        </w:rPr>
        <w:t xml:space="preserve"> records and publisher landing pages.</w:t>
      </w:r>
    </w:p>
    <w:p w14:paraId="49EAEB4B"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19F867FD"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2.3 Search Strategy and Search Period</w:t>
      </w:r>
    </w:p>
    <w:p w14:paraId="3AACBEB4" w14:textId="77777777" w:rsidR="001C1531" w:rsidRPr="002F7029" w:rsidRDefault="001C1531" w:rsidP="00B821B1">
      <w:pPr>
        <w:spacing w:after="0" w:line="240" w:lineRule="auto"/>
        <w:contextualSpacing/>
        <w:jc w:val="both"/>
        <w:rPr>
          <w:rFonts w:ascii="Times New Roman" w:eastAsia="Times New Roman" w:hAnsi="Times New Roman" w:cs="Times New Roman"/>
          <w:b/>
          <w:bCs/>
          <w:i/>
          <w:iCs/>
          <w:sz w:val="17"/>
          <w:szCs w:val="17"/>
          <w:lang w:val="en-IN"/>
        </w:rPr>
      </w:pPr>
    </w:p>
    <w:p w14:paraId="69BA15CC"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The search architecture combined a crop and production-system block, a climatic-hazard block, four lever-specific blocks and an outcome block (Table 1). The core syntax, expressed in the Europe PMC query language, was ("fruit tree*" OR orchard* OR apple OR Malus OR pear OR Prunus OR peach OR cherry OR apricot OR almond OR citrus OR grapevine OR "Vitis vinifera" OR olive OR avocado) AND ("climate change" OR warming OR "winter chill" OR "chilling requirement" OR dormancy OR "spring frost" OR "heat stress" OR sunburn OR drought OR "water deficit" OR salinity) AND (breeding OR "genomic selection" OR "genomic prediction" OR QTL OR "genome editing" OR rootstock* OR grafting OR "training system" OR netting OR "evaporative cooling" OR kaolin OR agrivoltaic* OR "deficit irrigation" OR "partial root-zone drying" OR "stem water potential" OR "reclaimed water" OR mulch*) AND (yield OR "fruit quality" OR "water productivity" OR "water use efficiency" OR phenology OR "bloom date") AND FIRST_PDATE:[2000-01-01 TO 2026-08-18]. Equivalent field adaptations were applied in the other platforms: title and </w:t>
      </w:r>
      <w:r w:rsidRPr="002F7029">
        <w:rPr>
          <w:rFonts w:ascii="Times New Roman" w:eastAsia="Times New Roman" w:hAnsi="Times New Roman" w:cs="Times New Roman"/>
          <w:bCs/>
          <w:sz w:val="17"/>
          <w:szCs w:val="17"/>
          <w:lang w:val="en-IN"/>
        </w:rPr>
        <w:lastRenderedPageBreak/>
        <w:t xml:space="preserve">abstract fields with publication-date limits in PubMed, full-text relevance searching with publication-date filters in </w:t>
      </w:r>
      <w:proofErr w:type="spellStart"/>
      <w:r w:rsidRPr="002F7029">
        <w:rPr>
          <w:rFonts w:ascii="Times New Roman" w:eastAsia="Times New Roman" w:hAnsi="Times New Roman" w:cs="Times New Roman"/>
          <w:bCs/>
          <w:sz w:val="17"/>
          <w:szCs w:val="17"/>
          <w:lang w:val="en-IN"/>
        </w:rPr>
        <w:t>OpenAlex</w:t>
      </w:r>
      <w:proofErr w:type="spellEnd"/>
      <w:r w:rsidRPr="002F7029">
        <w:rPr>
          <w:rFonts w:ascii="Times New Roman" w:eastAsia="Times New Roman" w:hAnsi="Times New Roman" w:cs="Times New Roman"/>
          <w:bCs/>
          <w:sz w:val="17"/>
          <w:szCs w:val="17"/>
          <w:lang w:val="en-IN"/>
        </w:rPr>
        <w:t xml:space="preserve">, keyword searching with date limits in </w:t>
      </w:r>
      <w:proofErr w:type="spellStart"/>
      <w:r w:rsidRPr="002F7029">
        <w:rPr>
          <w:rFonts w:ascii="Times New Roman" w:eastAsia="Times New Roman" w:hAnsi="Times New Roman" w:cs="Times New Roman"/>
          <w:bCs/>
          <w:sz w:val="17"/>
          <w:szCs w:val="17"/>
          <w:lang w:val="en-IN"/>
        </w:rPr>
        <w:t>OpenAIRE</w:t>
      </w:r>
      <w:proofErr w:type="spellEnd"/>
      <w:r w:rsidRPr="002F7029">
        <w:rPr>
          <w:rFonts w:ascii="Times New Roman" w:eastAsia="Times New Roman" w:hAnsi="Times New Roman" w:cs="Times New Roman"/>
          <w:bCs/>
          <w:sz w:val="17"/>
          <w:szCs w:val="17"/>
          <w:lang w:val="en-IN"/>
        </w:rPr>
        <w:t>, and shorter keyword combinations drawn from the same blocks in DOAJ, J-STAGE, Google Scholar and Semantic Scholar, where long Boolean strings are not processed reliably. Each lever-specific block was also run separately with the crop and hazard blocks to retrieve evidence that would be diluted in a single combined query. Literature eligibility was determined by the first public journal publication date, using the online-first or version-of-record date where available, rather than a later issue-assignment date.</w:t>
      </w:r>
    </w:p>
    <w:p w14:paraId="6D594CF5"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22E3187D"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search covered publications from 1 January 2000 to 18 August 2026. The search end date and the last search date were the same, 18 August 2026, and minor literature refinements were made during the review and revision stage. The starting year was chosen because the period since 2000 spans the field validation of partial root-zone drying and regulated deficit irrigation in fruit crops, the first spatially explicit projections of winter chill, the release of reference genomes for major fruit species and the development of genomic selection in fruit breeding. Foundational studies published earlier were included when they defined methods or concepts that remain in use, such as regulated deficit irrigation and stem water potential as an indicator of tree water stress.</w:t>
      </w:r>
    </w:p>
    <w:p w14:paraId="0458B625"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7D2F4408"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Retrieved records were appraised with a qualitative rubric of six criteria: direct relevance to a climatic hazard and at least one adaptation lever; strength of design, ranked from multi-season field experiments and long-term observational records through single-season field trials to controlled-environment or pot studies; scale and replication across sites, seasons, cultivars or rootstocks; validity of the measured outcome, with direct measurements of plant water status, fruit temperature, phenology or marketable yield preferred to indirect proxies; transparency of methods and statistical analysis; and consistency with independent evidence. On this basis, conclusions were classed as well supported when they were replicated across independent field studies or long-term records, as moderately supported when they rested on consistent but limited field evidence, and as preliminary when they relied mainly on controlled-environment studies, single sites, single seasons or modelling without field validation.</w:t>
      </w:r>
    </w:p>
    <w:p w14:paraId="56D94640"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1951D1D5"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query blocks used for evidence discovery and the principal evidence domains they were intended to interrogate are recorded in Table 1. The table documents the search architecture rather than database-specific hit counts, because such counts are not required for a critical narrative review and would imply a systematic selection process that was not undertaken. Study selection remained bounded by the eligibility and appraisal criteria described in this section.</w:t>
      </w:r>
    </w:p>
    <w:p w14:paraId="0AF37334" w14:textId="6868FBA2"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72EB93A5" w14:textId="4EB1C594" w:rsidR="001C1531" w:rsidRPr="004F6249" w:rsidRDefault="001C1531" w:rsidP="00B821B1">
      <w:pPr>
        <w:spacing w:after="0" w:line="240" w:lineRule="auto"/>
        <w:contextualSpacing/>
        <w:jc w:val="center"/>
        <w:rPr>
          <w:rFonts w:ascii="Times New Roman" w:eastAsia="Times New Roman" w:hAnsi="Times New Roman" w:cs="Times New Roman"/>
          <w:b/>
          <w:bCs/>
          <w:sz w:val="17"/>
          <w:szCs w:val="17"/>
          <w:lang w:val="en-IN"/>
        </w:rPr>
      </w:pPr>
      <w:r w:rsidRPr="004F6249">
        <w:rPr>
          <w:rFonts w:ascii="Times New Roman" w:eastAsia="Times New Roman" w:hAnsi="Times New Roman" w:cs="Times New Roman"/>
          <w:b/>
          <w:bCs/>
          <w:sz w:val="17"/>
          <w:szCs w:val="17"/>
          <w:lang w:val="en-IN"/>
        </w:rPr>
        <w:t>Table 1. Query blocks used for evidence discovery and the principal evidence domains they were designed to interrogate</w:t>
      </w:r>
    </w:p>
    <w:p w14:paraId="2D849D21" w14:textId="77777777" w:rsidR="004F6249" w:rsidRPr="002F7029" w:rsidRDefault="004F6249" w:rsidP="00B821B1">
      <w:pPr>
        <w:spacing w:after="0" w:line="240" w:lineRule="auto"/>
        <w:contextualSpacing/>
        <w:jc w:val="both"/>
        <w:rPr>
          <w:rFonts w:ascii="Times New Roman" w:eastAsia="Times New Roman" w:hAnsi="Times New Roman" w:cs="Times New Roman"/>
          <w:bCs/>
          <w:sz w:val="17"/>
          <w:szCs w:val="17"/>
          <w:lang w:val="en-IN"/>
        </w:rPr>
      </w:pPr>
    </w:p>
    <w:tbl>
      <w:tblPr>
        <w:tblStyle w:val="TableGrid"/>
        <w:tblW w:w="4875" w:type="pct"/>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639"/>
        <w:gridCol w:w="1492"/>
        <w:gridCol w:w="3622"/>
        <w:gridCol w:w="3261"/>
      </w:tblGrid>
      <w:tr w:rsidR="001C1531" w:rsidRPr="002F7029" w14:paraId="5B7CC270" w14:textId="77777777" w:rsidTr="004F6249">
        <w:trPr>
          <w:trHeight w:val="20"/>
          <w:jc w:val="center"/>
        </w:trPr>
        <w:tc>
          <w:tcPr>
            <w:tcW w:w="670" w:type="dxa"/>
          </w:tcPr>
          <w:p w14:paraId="3897455E"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Query block</w:t>
            </w:r>
          </w:p>
        </w:tc>
        <w:tc>
          <w:tcPr>
            <w:tcW w:w="1589" w:type="dxa"/>
          </w:tcPr>
          <w:p w14:paraId="1E4CF8D3"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Concept domain</w:t>
            </w:r>
          </w:p>
        </w:tc>
        <w:tc>
          <w:tcPr>
            <w:tcW w:w="3884" w:type="dxa"/>
          </w:tcPr>
          <w:p w14:paraId="09F269AF"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Representative search terms</w:t>
            </w:r>
          </w:p>
        </w:tc>
        <w:tc>
          <w:tcPr>
            <w:tcW w:w="3495" w:type="dxa"/>
          </w:tcPr>
          <w:p w14:paraId="33CD0670"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Principal evidence domains interrogated</w:t>
            </w:r>
          </w:p>
        </w:tc>
      </w:tr>
      <w:tr w:rsidR="001C1531" w:rsidRPr="002F7029" w14:paraId="10B50394" w14:textId="77777777" w:rsidTr="004F6249">
        <w:trPr>
          <w:trHeight w:val="20"/>
          <w:jc w:val="center"/>
        </w:trPr>
        <w:tc>
          <w:tcPr>
            <w:tcW w:w="670" w:type="dxa"/>
          </w:tcPr>
          <w:p w14:paraId="5C3C3507"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A</w:t>
            </w:r>
          </w:p>
        </w:tc>
        <w:tc>
          <w:tcPr>
            <w:tcW w:w="1589" w:type="dxa"/>
          </w:tcPr>
          <w:p w14:paraId="0CCB2E6E"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Crop and production system</w:t>
            </w:r>
          </w:p>
        </w:tc>
        <w:tc>
          <w:tcPr>
            <w:tcW w:w="3884" w:type="dxa"/>
          </w:tcPr>
          <w:p w14:paraId="69C0E01D"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fruit tree*; orchard*; apple; Malus; pear; Prunus; peach; cherry; apricot; almond; citrus; grapevine; Vitis vinifera; olive; avocado</w:t>
            </w:r>
          </w:p>
        </w:tc>
        <w:tc>
          <w:tcPr>
            <w:tcW w:w="3495" w:type="dxa"/>
          </w:tcPr>
          <w:p w14:paraId="2762B48B"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Woody perennial fruit systems in temperate, Mediterranean-type and subtropical climates</w:t>
            </w:r>
          </w:p>
        </w:tc>
      </w:tr>
      <w:tr w:rsidR="001C1531" w:rsidRPr="002F7029" w14:paraId="64379A0D" w14:textId="77777777" w:rsidTr="004F6249">
        <w:trPr>
          <w:trHeight w:val="20"/>
          <w:jc w:val="center"/>
        </w:trPr>
        <w:tc>
          <w:tcPr>
            <w:tcW w:w="670" w:type="dxa"/>
          </w:tcPr>
          <w:p w14:paraId="0B56F865"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B</w:t>
            </w:r>
          </w:p>
        </w:tc>
        <w:tc>
          <w:tcPr>
            <w:tcW w:w="1589" w:type="dxa"/>
          </w:tcPr>
          <w:p w14:paraId="2283F3F0"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Climatic hazard</w:t>
            </w:r>
          </w:p>
        </w:tc>
        <w:tc>
          <w:tcPr>
            <w:tcW w:w="3884" w:type="dxa"/>
          </w:tcPr>
          <w:p w14:paraId="3B320F56"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climate change; warming; winter chill; chilling requirement; dormancy; spring frost; heat stress; heatwave; sunburn; drought; water deficit; salinity</w:t>
            </w:r>
          </w:p>
        </w:tc>
        <w:tc>
          <w:tcPr>
            <w:tcW w:w="3495" w:type="dxa"/>
          </w:tcPr>
          <w:p w14:paraId="0A832538"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Exposure and physiological sensitivity; observed trends and projections; compound events</w:t>
            </w:r>
          </w:p>
        </w:tc>
      </w:tr>
      <w:tr w:rsidR="001C1531" w:rsidRPr="002F7029" w14:paraId="49DBF3E6" w14:textId="77777777" w:rsidTr="004F6249">
        <w:trPr>
          <w:trHeight w:val="20"/>
          <w:jc w:val="center"/>
        </w:trPr>
        <w:tc>
          <w:tcPr>
            <w:tcW w:w="670" w:type="dxa"/>
          </w:tcPr>
          <w:p w14:paraId="441DD437"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C1</w:t>
            </w:r>
          </w:p>
        </w:tc>
        <w:tc>
          <w:tcPr>
            <w:tcW w:w="1589" w:type="dxa"/>
          </w:tcPr>
          <w:p w14:paraId="4763269C"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Genetic lever</w:t>
            </w:r>
          </w:p>
        </w:tc>
        <w:tc>
          <w:tcPr>
            <w:tcW w:w="3884" w:type="dxa"/>
          </w:tcPr>
          <w:p w14:paraId="41CD0657"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breeding; cultivar*; genomic selection; genomic prediction; GWAS; QTL; marker-assisted; genome editing; CRISPR; genetic diversity</w:t>
            </w:r>
          </w:p>
        </w:tc>
        <w:tc>
          <w:tcPr>
            <w:tcW w:w="3495" w:type="dxa"/>
          </w:tcPr>
          <w:p w14:paraId="7178FF02"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Phenology and chilling genetics; heat and drought tolerance; breeding technologies; varietal diversity</w:t>
            </w:r>
          </w:p>
        </w:tc>
      </w:tr>
      <w:tr w:rsidR="001C1531" w:rsidRPr="002F7029" w14:paraId="411BB662" w14:textId="77777777" w:rsidTr="004F6249">
        <w:trPr>
          <w:trHeight w:val="20"/>
          <w:jc w:val="center"/>
        </w:trPr>
        <w:tc>
          <w:tcPr>
            <w:tcW w:w="670" w:type="dxa"/>
          </w:tcPr>
          <w:p w14:paraId="1628A848"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C2</w:t>
            </w:r>
          </w:p>
        </w:tc>
        <w:tc>
          <w:tcPr>
            <w:tcW w:w="1589" w:type="dxa"/>
          </w:tcPr>
          <w:p w14:paraId="30CC90F3"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Rootstock lever</w:t>
            </w:r>
          </w:p>
        </w:tc>
        <w:tc>
          <w:tcPr>
            <w:tcW w:w="3884" w:type="dxa"/>
          </w:tcPr>
          <w:p w14:paraId="32E175FF"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rootstock*; grafting; rootstock–scion; vigour; hydraulic conductance; chloride exclusion; polyploid</w:t>
            </w:r>
          </w:p>
        </w:tc>
        <w:tc>
          <w:tcPr>
            <w:tcW w:w="3495" w:type="dxa"/>
          </w:tcPr>
          <w:p w14:paraId="0E788890"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Vigour control, water uptake and transpiration, salinity tolerance, long-distance signalling</w:t>
            </w:r>
          </w:p>
        </w:tc>
      </w:tr>
      <w:tr w:rsidR="001C1531" w:rsidRPr="002F7029" w14:paraId="21890AC8" w14:textId="77777777" w:rsidTr="004F6249">
        <w:trPr>
          <w:trHeight w:val="20"/>
          <w:jc w:val="center"/>
        </w:trPr>
        <w:tc>
          <w:tcPr>
            <w:tcW w:w="670" w:type="dxa"/>
          </w:tcPr>
          <w:p w14:paraId="5F309EAC"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C3</w:t>
            </w:r>
          </w:p>
        </w:tc>
        <w:tc>
          <w:tcPr>
            <w:tcW w:w="1589" w:type="dxa"/>
          </w:tcPr>
          <w:p w14:paraId="67441ADA"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Canopy and microclimate lever</w:t>
            </w:r>
          </w:p>
        </w:tc>
        <w:tc>
          <w:tcPr>
            <w:tcW w:w="3884" w:type="dxa"/>
          </w:tcPr>
          <w:p w14:paraId="3AC70C64"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 xml:space="preserve">training system; canopy architecture; netting; shade net; hail net; </w:t>
            </w:r>
            <w:proofErr w:type="spellStart"/>
            <w:r w:rsidRPr="002F7029">
              <w:rPr>
                <w:rFonts w:ascii="Times New Roman" w:eastAsia="Times New Roman" w:hAnsi="Times New Roman"/>
                <w:bCs/>
                <w:sz w:val="17"/>
                <w:szCs w:val="17"/>
                <w:lang w:val="en-IN"/>
              </w:rPr>
              <w:t>photoselective</w:t>
            </w:r>
            <w:proofErr w:type="spellEnd"/>
            <w:r w:rsidRPr="002F7029">
              <w:rPr>
                <w:rFonts w:ascii="Times New Roman" w:eastAsia="Times New Roman" w:hAnsi="Times New Roman"/>
                <w:bCs/>
                <w:sz w:val="17"/>
                <w:szCs w:val="17"/>
                <w:lang w:val="en-IN"/>
              </w:rPr>
              <w:t>; evaporative cooling; kaolin; agrivoltaic*; rain cover; frost protection</w:t>
            </w:r>
          </w:p>
        </w:tc>
        <w:tc>
          <w:tcPr>
            <w:tcW w:w="3495" w:type="dxa"/>
          </w:tcPr>
          <w:p w14:paraId="01332116"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Light and energy balance, fruit temperature, sunburn, colour, orchard evapotranspiration, frost mitigation</w:t>
            </w:r>
          </w:p>
        </w:tc>
      </w:tr>
      <w:tr w:rsidR="001C1531" w:rsidRPr="002F7029" w14:paraId="52B5424A" w14:textId="77777777" w:rsidTr="004F6249">
        <w:trPr>
          <w:trHeight w:val="20"/>
          <w:jc w:val="center"/>
        </w:trPr>
        <w:tc>
          <w:tcPr>
            <w:tcW w:w="670" w:type="dxa"/>
          </w:tcPr>
          <w:p w14:paraId="216F6091"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C4</w:t>
            </w:r>
          </w:p>
        </w:tc>
        <w:tc>
          <w:tcPr>
            <w:tcW w:w="1589" w:type="dxa"/>
          </w:tcPr>
          <w:p w14:paraId="48D86BB6"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Water-smart lever</w:t>
            </w:r>
          </w:p>
        </w:tc>
        <w:tc>
          <w:tcPr>
            <w:tcW w:w="3884" w:type="dxa"/>
          </w:tcPr>
          <w:p w14:paraId="31A8FCD2"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deficit irrigation; regulated deficit irrigation; partial root-zone drying; stem water potential; trunk diameter; sap flow; thermal imagery; reclaimed water; desalinated water; mulch*; cover crop*</w:t>
            </w:r>
          </w:p>
        </w:tc>
        <w:tc>
          <w:tcPr>
            <w:tcW w:w="3495" w:type="dxa"/>
          </w:tcPr>
          <w:p w14:paraId="3AF7E266"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Water productivity, irrigation scheduling, plant-based and remote sensing, marginal water, soil-water conservation</w:t>
            </w:r>
          </w:p>
        </w:tc>
      </w:tr>
      <w:tr w:rsidR="001C1531" w:rsidRPr="002F7029" w14:paraId="6D465245" w14:textId="77777777" w:rsidTr="004F6249">
        <w:trPr>
          <w:trHeight w:val="20"/>
          <w:jc w:val="center"/>
        </w:trPr>
        <w:tc>
          <w:tcPr>
            <w:tcW w:w="670" w:type="dxa"/>
          </w:tcPr>
          <w:p w14:paraId="0EBCE58E"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D</w:t>
            </w:r>
          </w:p>
        </w:tc>
        <w:tc>
          <w:tcPr>
            <w:tcW w:w="1589" w:type="dxa"/>
          </w:tcPr>
          <w:p w14:paraId="7FBF35CC"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Outcomes</w:t>
            </w:r>
          </w:p>
        </w:tc>
        <w:tc>
          <w:tcPr>
            <w:tcW w:w="3884" w:type="dxa"/>
          </w:tcPr>
          <w:p w14:paraId="657FE2AC"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yield; fruit quality; water productivity; water use efficiency; phenology; bloom date; profitability</w:t>
            </w:r>
          </w:p>
        </w:tc>
        <w:tc>
          <w:tcPr>
            <w:tcW w:w="3495" w:type="dxa"/>
          </w:tcPr>
          <w:p w14:paraId="7627BB38" w14:textId="77777777" w:rsidR="001C1531" w:rsidRPr="002F7029" w:rsidRDefault="001C1531" w:rsidP="00B821B1">
            <w:pPr>
              <w:ind w:left="-66" w:right="-6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Agronomic, quality, physiological and economic endpoints used to judge resilience</w:t>
            </w:r>
          </w:p>
        </w:tc>
      </w:tr>
    </w:tbl>
    <w:p w14:paraId="40D44946" w14:textId="0013316A" w:rsidR="001C1531" w:rsidRPr="004F6249" w:rsidRDefault="001C1531" w:rsidP="00B821B1">
      <w:pPr>
        <w:spacing w:after="0" w:line="240" w:lineRule="auto"/>
        <w:contextualSpacing/>
        <w:jc w:val="center"/>
        <w:rPr>
          <w:rFonts w:ascii="Times New Roman" w:eastAsia="Times New Roman" w:hAnsi="Times New Roman" w:cs="Times New Roman"/>
          <w:bCs/>
          <w:i/>
          <w:iCs/>
          <w:sz w:val="16"/>
          <w:szCs w:val="16"/>
          <w:lang w:val="en-IN"/>
        </w:rPr>
      </w:pPr>
      <w:r w:rsidRPr="004F6249">
        <w:rPr>
          <w:rFonts w:ascii="Times New Roman" w:eastAsia="Times New Roman" w:hAnsi="Times New Roman" w:cs="Times New Roman"/>
          <w:bCs/>
          <w:i/>
          <w:iCs/>
          <w:sz w:val="16"/>
          <w:szCs w:val="16"/>
          <w:lang w:val="en-IN"/>
        </w:rPr>
        <w:t>Note. Blocks were combined as A AND B AND (C1 OR C2 OR C3 OR C4) AND D, and each lever block was also run separately with blocks A and B. GWAS, genome-wide association study; QTL, quantitative trait locus; CRISPR, clustered regularly interspaced short palindromic repeats. An asterisk denotes truncation</w:t>
      </w:r>
    </w:p>
    <w:p w14:paraId="431AF4A7"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528C14C8"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2.4 Eligibility Criteria</w:t>
      </w:r>
    </w:p>
    <w:p w14:paraId="2E7B7AF0" w14:textId="77777777" w:rsidR="001C1531" w:rsidRPr="002F7029" w:rsidRDefault="001C1531" w:rsidP="00B821B1">
      <w:pPr>
        <w:spacing w:after="0" w:line="240" w:lineRule="auto"/>
        <w:contextualSpacing/>
        <w:jc w:val="both"/>
        <w:rPr>
          <w:rFonts w:ascii="Times New Roman" w:eastAsia="Times New Roman" w:hAnsi="Times New Roman" w:cs="Times New Roman"/>
          <w:b/>
          <w:bCs/>
          <w:i/>
          <w:iCs/>
          <w:sz w:val="17"/>
          <w:szCs w:val="17"/>
          <w:lang w:val="en-IN"/>
        </w:rPr>
      </w:pPr>
    </w:p>
    <w:p w14:paraId="63060F9A"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Eligible publications were peer-reviewed original studies, reviews and modelling studies that addressed at least one climatic hazard and at least one of the four adaptation levers in woody perennial fruit crops, or that clarified a physiological mechanism essential to interpreting those levers. Field experiments, long-term observational datasets, controlled-environment studies, genetic mapping and genomic prediction studies, crop and phenology modelling studies, and economic evaluations were all eligible, but their contribution to conclusions was weighted according to the appraisal rubric. Publications had to be in English with full bibliographic details verifiable through an authoritative registry. Institutional guidance from recognised intergovernmental bodies was eligible when it provided technical frameworks not available in journal articles. Conference abstracts, trade and extension magazines, non-</w:t>
      </w:r>
      <w:r w:rsidRPr="002F7029">
        <w:rPr>
          <w:rFonts w:ascii="Times New Roman" w:eastAsia="Times New Roman" w:hAnsi="Times New Roman" w:cs="Times New Roman"/>
          <w:bCs/>
          <w:sz w:val="17"/>
          <w:szCs w:val="17"/>
          <w:lang w:val="en-IN"/>
        </w:rPr>
        <w:lastRenderedPageBreak/>
        <w:t>peer-reviewed preprints, commercial material, patents and records whose bibliographic identity could not be confirmed were excluded. Studies of annual vegetable crops, forest trees and ornamental species were excluded unless they provided methodological evidence that was directly transferable and unavailable for fruit crops. No geographical restriction was applied, but the geographical origin of evidence was recorded to assess transferability.</w:t>
      </w:r>
    </w:p>
    <w:p w14:paraId="524BECC2"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7A9163B4"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2.5 Screening, Duplicate Handling and Study Selection</w:t>
      </w:r>
    </w:p>
    <w:p w14:paraId="1E0CB260" w14:textId="77777777" w:rsidR="001C1531" w:rsidRPr="002F7029" w:rsidRDefault="001C1531" w:rsidP="00B821B1">
      <w:pPr>
        <w:spacing w:after="0" w:line="240" w:lineRule="auto"/>
        <w:contextualSpacing/>
        <w:jc w:val="both"/>
        <w:rPr>
          <w:rFonts w:ascii="Times New Roman" w:eastAsia="Times New Roman" w:hAnsi="Times New Roman" w:cs="Times New Roman"/>
          <w:b/>
          <w:bCs/>
          <w:i/>
          <w:iCs/>
          <w:sz w:val="17"/>
          <w:szCs w:val="17"/>
          <w:lang w:val="en-IN"/>
        </w:rPr>
      </w:pPr>
    </w:p>
    <w:p w14:paraId="36AAEBA6"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Titles and abstracts were screened for relevance to the hazard and lever blocks, and potentially relevant records were assessed in full text where accessible, or through the abstract, methods description and publisher metadata where full text was not openly available. Duplicate records arising from overlapping indexes were identified by digital object identifier and, where identifiers were absent, by matching title, first author and year; the version of record was retained. Records that could not be verified bibliographically, or whose full methods could not be ascertained sufficiently to judge the claim for which they would be cited, were not used. As a critical narrative review, the study did not aim to identify every eligible record, and it does not report screening counts, deduplication counts, a flow diagram or independent dual-reviewer appraisal, which are requirements of systematic reviews rather than of narrative syntheses. Selection was purposive and bounded by the eligibility criteria and the appraisal rubric, with deliberate inclusion of studies reporting null, negative or conflicting findings.</w:t>
      </w:r>
    </w:p>
    <w:p w14:paraId="6112D6EC"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561F1180"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2.6 Critical Appraisal and Evidence Synthesis</w:t>
      </w:r>
    </w:p>
    <w:p w14:paraId="4EBC4E21" w14:textId="77777777" w:rsidR="001C1531" w:rsidRPr="002F7029" w:rsidRDefault="001C1531" w:rsidP="00B821B1">
      <w:pPr>
        <w:spacing w:after="0" w:line="240" w:lineRule="auto"/>
        <w:contextualSpacing/>
        <w:jc w:val="both"/>
        <w:rPr>
          <w:rFonts w:ascii="Times New Roman" w:eastAsia="Times New Roman" w:hAnsi="Times New Roman" w:cs="Times New Roman"/>
          <w:b/>
          <w:bCs/>
          <w:i/>
          <w:iCs/>
          <w:sz w:val="17"/>
          <w:szCs w:val="17"/>
          <w:lang w:val="en-IN"/>
        </w:rPr>
      </w:pPr>
    </w:p>
    <w:p w14:paraId="00EF3F4F"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Evidence was synthesised thematically. Themes were derived from the hazard–mechanism–lever structure of the search and refined iteratively as recurrent controversies became apparent, such as the choice of chill model, the field relevance of rootstock drought tolerance measured in pots and the trade-off between sunburn protection and fruit colour. For each theme, the strongest supporting evidence was identified first, conflicting findings were then examined, and likely reasons for disagreement were considered, including differences in experimental scale, duration, cultivar and rootstock combinations, climatic context, measurement methods and the intensity and timing of stress. Methodological influence was judged by design strength and replication rather than by citation counts. Where evidence from different disciplines was combined, care was taken to distinguish demonstrated field effects from mechanistic plausibility and from model projections. The resulting conclusions were assigned qualitative confidence levels using the rubric described in Section 2.3, and these levels are reported in the summary tables that close each analytical section.</w:t>
      </w:r>
    </w:p>
    <w:p w14:paraId="5E44D833"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755C6B13" w14:textId="77777777" w:rsidR="001C1531" w:rsidRPr="002F7029" w:rsidRDefault="001C1531" w:rsidP="00B821B1">
      <w:pPr>
        <w:pStyle w:val="Heading3"/>
        <w:keepNext w:val="0"/>
        <w:keepLines w:val="0"/>
        <w:rPr>
          <w:rFonts w:eastAsia="Times New Roman"/>
          <w:lang w:val="en-IN"/>
        </w:rPr>
      </w:pPr>
      <w:r w:rsidRPr="002F7029">
        <w:rPr>
          <w:rFonts w:eastAsia="Times New Roman"/>
          <w:lang w:val="en-IN"/>
        </w:rPr>
        <w:t>3. Climatic Hazards and the Physiological Vulnerability of Perennial Fruit Systems</w:t>
      </w:r>
    </w:p>
    <w:p w14:paraId="359E2502" w14:textId="77777777" w:rsidR="001C1531" w:rsidRPr="002F7029" w:rsidRDefault="001C1531" w:rsidP="00B821B1">
      <w:pPr>
        <w:spacing w:after="0" w:line="240" w:lineRule="auto"/>
        <w:contextualSpacing/>
        <w:jc w:val="both"/>
        <w:rPr>
          <w:rFonts w:ascii="Times New Roman" w:eastAsia="Times New Roman" w:hAnsi="Times New Roman" w:cs="Times New Roman"/>
          <w:b/>
          <w:bCs/>
          <w:sz w:val="17"/>
          <w:szCs w:val="17"/>
          <w:lang w:val="en-IN"/>
        </w:rPr>
      </w:pPr>
    </w:p>
    <w:p w14:paraId="7584ACA4"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adaptation levers examined in later sections are only meaningful in relation to the physiological processes through which climate change damages fruit production. This section appraises the evidence for five groups of hazards, assesses the confidence that can be placed in their projected trajectories and identifies the mechanisms that adaptation must target.</w:t>
      </w:r>
    </w:p>
    <w:p w14:paraId="1D991D18"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7DDFF4CE"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3.1 Declining Winter Chill and Disrupted Dormancy</w:t>
      </w:r>
    </w:p>
    <w:p w14:paraId="08CED9F7" w14:textId="77777777" w:rsidR="001C1531" w:rsidRPr="002F7029" w:rsidRDefault="001C1531" w:rsidP="00B821B1">
      <w:pPr>
        <w:spacing w:after="0" w:line="240" w:lineRule="auto"/>
        <w:contextualSpacing/>
        <w:jc w:val="both"/>
        <w:rPr>
          <w:rFonts w:ascii="Times New Roman" w:eastAsia="Times New Roman" w:hAnsi="Times New Roman" w:cs="Times New Roman"/>
          <w:b/>
          <w:bCs/>
          <w:i/>
          <w:iCs/>
          <w:sz w:val="17"/>
          <w:szCs w:val="17"/>
          <w:lang w:val="en-IN"/>
        </w:rPr>
      </w:pPr>
    </w:p>
    <w:p w14:paraId="13BF6BF7"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Temperate fruit trees must accumulate a cultivar-specific amount of chilling during endodormancy, followed by sufficient heat during </w:t>
      </w:r>
      <w:proofErr w:type="spellStart"/>
      <w:r w:rsidRPr="002F7029">
        <w:rPr>
          <w:rFonts w:ascii="Times New Roman" w:eastAsia="Times New Roman" w:hAnsi="Times New Roman" w:cs="Times New Roman"/>
          <w:bCs/>
          <w:sz w:val="17"/>
          <w:szCs w:val="17"/>
          <w:lang w:val="en-IN"/>
        </w:rPr>
        <w:t>ecodormancy</w:t>
      </w:r>
      <w:proofErr w:type="spellEnd"/>
      <w:r w:rsidRPr="002F7029">
        <w:rPr>
          <w:rFonts w:ascii="Times New Roman" w:eastAsia="Times New Roman" w:hAnsi="Times New Roman" w:cs="Times New Roman"/>
          <w:bCs/>
          <w:sz w:val="17"/>
          <w:szCs w:val="17"/>
          <w:lang w:val="en-IN"/>
        </w:rPr>
        <w:t xml:space="preserve">, to flower and set fruit normally (Campoy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2011; </w:t>
      </w:r>
      <w:proofErr w:type="spellStart"/>
      <w:r w:rsidRPr="002F7029">
        <w:rPr>
          <w:rFonts w:ascii="Times New Roman" w:eastAsia="Times New Roman" w:hAnsi="Times New Roman" w:cs="Times New Roman"/>
          <w:bCs/>
          <w:sz w:val="17"/>
          <w:szCs w:val="17"/>
          <w:lang w:val="en-IN"/>
        </w:rPr>
        <w:t>Fadón</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When chill is inadequate, bud break becomes delayed and irregular, flowering is prolonged and poorly synchronised, and fruit set declines, symptoms that have been documented for pome and stone fruit in warm-winter regions (Atkinson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2013; Salama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2021). At the molecular level, dormancy progression involves dormancy-associated MADS-box (DAM) and related transcription factors together with hormonal, carbohydrate and oxidative signalling, and the accumulation of reactive oxygen species has been proposed as a central integrating cue (</w:t>
      </w:r>
      <w:proofErr w:type="spellStart"/>
      <w:r w:rsidRPr="002F7029">
        <w:rPr>
          <w:rFonts w:ascii="Times New Roman" w:eastAsia="Times New Roman" w:hAnsi="Times New Roman" w:cs="Times New Roman"/>
          <w:bCs/>
          <w:sz w:val="17"/>
          <w:szCs w:val="17"/>
          <w:lang w:val="en-IN"/>
        </w:rPr>
        <w:t>Beauvieux</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2018; </w:t>
      </w:r>
      <w:proofErr w:type="spellStart"/>
      <w:r w:rsidRPr="002F7029">
        <w:rPr>
          <w:rFonts w:ascii="Times New Roman" w:eastAsia="Times New Roman" w:hAnsi="Times New Roman" w:cs="Times New Roman"/>
          <w:bCs/>
          <w:sz w:val="17"/>
          <w:szCs w:val="17"/>
          <w:lang w:val="en-IN"/>
        </w:rPr>
        <w:t>Falavigna</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2019).</w:t>
      </w:r>
    </w:p>
    <w:p w14:paraId="6F7CA095"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319D9037"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Projections of winter chill are among the most consistent findings in the field. A global analysis based on more than four thousand weather stations concluded that warm growing regions are likely to experience severe reductions in safe winter chill, defined as the chill exceeded in 90% of years (</w:t>
      </w:r>
      <w:proofErr w:type="spellStart"/>
      <w:r w:rsidRPr="002F7029">
        <w:rPr>
          <w:rFonts w:ascii="Times New Roman" w:eastAsia="Times New Roman" w:hAnsi="Times New Roman" w:cs="Times New Roman"/>
          <w:bCs/>
          <w:sz w:val="17"/>
          <w:szCs w:val="17"/>
          <w:lang w:val="en-IN"/>
        </w:rPr>
        <w:t>Luedeling</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2011). For California, projections indicated that the area with sufficient safe winter chill for many tree species or cultivars could decrease by 50–75% by the middle of the century and by 90–100% by its end, with the Chilling Hours model projecting larger changes than the Dynamic Model (</w:t>
      </w:r>
      <w:proofErr w:type="spellStart"/>
      <w:r w:rsidRPr="002F7029">
        <w:rPr>
          <w:rFonts w:ascii="Times New Roman" w:eastAsia="Times New Roman" w:hAnsi="Times New Roman" w:cs="Times New Roman"/>
          <w:bCs/>
          <w:sz w:val="17"/>
          <w:szCs w:val="17"/>
          <w:lang w:val="en-IN"/>
        </w:rPr>
        <w:t>Luedeling</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2009). Regional studies for Chile, Spain and European vineyards and olive orchards point in the same direction, with the largest losses in the warmest current production areas (E. Fernandez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Fraga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2019; Rodríguez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2019; Rodríguez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2021). An assessment of the Mediterranean basin found that northern African growing regions had already experienced major chill losses, a probable cause of the irregular and delayed bloom reported by experts, and that these regions and southern Europe could lose up to 30 Chill Portions by 2050 under a moderate warming scenario (E. Fernandez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2023). That study is notable for combining weather-generator simulations with the observations of growers and researchers, which partly addresses the criticism that chill projections are rarely compared with production experience. In the Indian Himalaya, declining chill has been discussed alongside the upslope movement of apple cultivation (Sahu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2020).</w:t>
      </w:r>
    </w:p>
    <w:p w14:paraId="1BEBED50"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04B24B47"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Confidence in the direction of change is high, but confidence in its agronomic consequences is lower. The commonly used chill metrics are not proportional to each other, and the ratios between Chilling Hours, Utah units and Chill Portions vary substantially across the world, so that requirements estimated in one region cannot be transferred safely to another (</w:t>
      </w:r>
      <w:proofErr w:type="spellStart"/>
      <w:r w:rsidRPr="002F7029">
        <w:rPr>
          <w:rFonts w:ascii="Times New Roman" w:eastAsia="Times New Roman" w:hAnsi="Times New Roman" w:cs="Times New Roman"/>
          <w:bCs/>
          <w:sz w:val="17"/>
          <w:szCs w:val="17"/>
          <w:lang w:val="en-IN"/>
        </w:rPr>
        <w:t>Luedeling</w:t>
      </w:r>
      <w:proofErr w:type="spellEnd"/>
      <w:r w:rsidRPr="002F7029">
        <w:rPr>
          <w:rFonts w:ascii="Times New Roman" w:eastAsia="Times New Roman" w:hAnsi="Times New Roman" w:cs="Times New Roman"/>
          <w:bCs/>
          <w:sz w:val="17"/>
          <w:szCs w:val="17"/>
          <w:lang w:val="en-IN"/>
        </w:rPr>
        <w:t xml:space="preserve"> &amp; Brown, 2011). Published chilling and heat requirements for </w:t>
      </w:r>
      <w:r w:rsidRPr="002F7029">
        <w:rPr>
          <w:rFonts w:ascii="Times New Roman" w:eastAsia="Times New Roman" w:hAnsi="Times New Roman" w:cs="Times New Roman"/>
          <w:bCs/>
          <w:i/>
          <w:iCs/>
          <w:sz w:val="17"/>
          <w:szCs w:val="17"/>
          <w:lang w:val="en-IN"/>
        </w:rPr>
        <w:t>Prunus</w:t>
      </w:r>
      <w:r w:rsidRPr="002F7029">
        <w:rPr>
          <w:rFonts w:ascii="Times New Roman" w:eastAsia="Times New Roman" w:hAnsi="Times New Roman" w:cs="Times New Roman"/>
          <w:bCs/>
          <w:sz w:val="17"/>
          <w:szCs w:val="17"/>
          <w:lang w:val="en-IN"/>
        </w:rPr>
        <w:t xml:space="preserve"> cultivars were obtained with diverse methods for determining dormancy release and quantifying temperature, and data are missing for many cultivars (</w:t>
      </w:r>
      <w:proofErr w:type="spellStart"/>
      <w:r w:rsidRPr="002F7029">
        <w:rPr>
          <w:rFonts w:ascii="Times New Roman" w:eastAsia="Times New Roman" w:hAnsi="Times New Roman" w:cs="Times New Roman"/>
          <w:bCs/>
          <w:sz w:val="17"/>
          <w:szCs w:val="17"/>
          <w:lang w:val="en-IN"/>
        </w:rPr>
        <w:t>Fadón</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Widely used phenology models also rely on simplified assumptions, are seldom validated for the cultivars in question and rarely report uncertainty, a limitation that motivated the development of more flexible frameworks such as </w:t>
      </w:r>
      <w:proofErr w:type="spellStart"/>
      <w:r w:rsidRPr="002F7029">
        <w:rPr>
          <w:rFonts w:ascii="Times New Roman" w:eastAsia="Times New Roman" w:hAnsi="Times New Roman" w:cs="Times New Roman"/>
          <w:bCs/>
          <w:sz w:val="17"/>
          <w:szCs w:val="17"/>
          <w:lang w:val="en-IN"/>
        </w:rPr>
        <w:t>PhenoFlex</w:t>
      </w:r>
      <w:proofErr w:type="spellEnd"/>
      <w:r w:rsidRPr="002F7029">
        <w:rPr>
          <w:rFonts w:ascii="Times New Roman" w:eastAsia="Times New Roman" w:hAnsi="Times New Roman" w:cs="Times New Roman"/>
          <w:bCs/>
          <w:sz w:val="17"/>
          <w:szCs w:val="17"/>
          <w:lang w:val="en-IN"/>
        </w:rPr>
        <w:t xml:space="preserve"> (</w:t>
      </w:r>
      <w:proofErr w:type="spellStart"/>
      <w:r w:rsidRPr="002F7029">
        <w:rPr>
          <w:rFonts w:ascii="Times New Roman" w:eastAsia="Times New Roman" w:hAnsi="Times New Roman" w:cs="Times New Roman"/>
          <w:bCs/>
          <w:sz w:val="17"/>
          <w:szCs w:val="17"/>
          <w:lang w:val="en-IN"/>
        </w:rPr>
        <w:t>Luedeling</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2021). Impact assessments that combine one chill model with a single requirement value per crop therefore indicate the direction of risk rather than precise </w:t>
      </w:r>
      <w:r w:rsidRPr="002F7029">
        <w:rPr>
          <w:rFonts w:ascii="Times New Roman" w:eastAsia="Times New Roman" w:hAnsi="Times New Roman" w:cs="Times New Roman"/>
          <w:bCs/>
          <w:sz w:val="17"/>
          <w:szCs w:val="17"/>
          <w:lang w:val="en-IN"/>
        </w:rPr>
        <w:lastRenderedPageBreak/>
        <w:t xml:space="preserve">thresholds. Chemical dormancy-breaking agents are widely used to compensate partially for insufficient chill in warm-winter regions (Salama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2021), but they do not remove the dependence of production on adequate winter temperatures, which is why cultivar and rootstock choices are central to long-term adaptation.</w:t>
      </w:r>
    </w:p>
    <w:p w14:paraId="2DCAC36D"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46FE863C"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3.2 Advancing Phenology and the Spring Frost Paradox</w:t>
      </w:r>
    </w:p>
    <w:p w14:paraId="001949B3" w14:textId="77777777" w:rsidR="001C1531" w:rsidRPr="002F7029" w:rsidRDefault="001C1531" w:rsidP="00B821B1">
      <w:pPr>
        <w:spacing w:after="0" w:line="240" w:lineRule="auto"/>
        <w:contextualSpacing/>
        <w:jc w:val="both"/>
        <w:rPr>
          <w:rFonts w:ascii="Times New Roman" w:eastAsia="Times New Roman" w:hAnsi="Times New Roman" w:cs="Times New Roman"/>
          <w:b/>
          <w:bCs/>
          <w:i/>
          <w:iCs/>
          <w:sz w:val="17"/>
          <w:szCs w:val="17"/>
          <w:lang w:val="en-IN"/>
        </w:rPr>
      </w:pPr>
    </w:p>
    <w:p w14:paraId="2D70826A"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Long-term phenological records show that flowering of fruit trees has advanced with warming. Trends in German fruit tree and field crop phenology between 1961 and 2000 were attributed to rising temperatures (Chmielewski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2004). In Western Europe, advances in apple blooming have been explained mainly by faster satisfaction of the heat requirement after dormancy release (</w:t>
      </w:r>
      <w:proofErr w:type="spellStart"/>
      <w:r w:rsidRPr="002F7029">
        <w:rPr>
          <w:rFonts w:ascii="Times New Roman" w:eastAsia="Times New Roman" w:hAnsi="Times New Roman" w:cs="Times New Roman"/>
          <w:bCs/>
          <w:sz w:val="17"/>
          <w:szCs w:val="17"/>
          <w:lang w:val="en-IN"/>
        </w:rPr>
        <w:t>Legave</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2013). Across contrasting climates, however, flowering advanced in most European regions and in Morocco but remained stationary in southern Brazil and in the French Mediterranean region, leading to the suggestion that temperate Mediterranean regions may increasingly respond to chill decline and experience late and extended flowering (</w:t>
      </w:r>
      <w:proofErr w:type="spellStart"/>
      <w:r w:rsidRPr="002F7029">
        <w:rPr>
          <w:rFonts w:ascii="Times New Roman" w:eastAsia="Times New Roman" w:hAnsi="Times New Roman" w:cs="Times New Roman"/>
          <w:bCs/>
          <w:sz w:val="17"/>
          <w:szCs w:val="17"/>
          <w:lang w:val="en-IN"/>
        </w:rPr>
        <w:t>Legave</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2015). Earlier flowering does not necessarily reduce frost exposure, because the last spring frost may not advance as rapidly as bud development. For south-eastern Styria, a phenological model coupled with high-resolution projections estimated a mean advance in apple bloom of 1.6 ± 0.9 days per decade, and the authors argued that stable high-pressure blocking events occurring after earlier bloom could increase economic damage (Unterberger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2018). In Germany, compound-event analysis indicated that the risk of frost damage to apple could rise by up to 10% relative to the present in a world 2 °C warmer, even though the absolute number of frost days declines (Pfleiderer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2019).</w:t>
      </w:r>
    </w:p>
    <w:p w14:paraId="16484D34"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5047F572"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The evidence is, however, regionally heterogeneous. Late-spring frost risk between 1959 and 2017 decreased across much of North America but increased in Europe and Asia (Zohner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Projections for three apple cultivars in southern Germany, produced with an updated </w:t>
      </w:r>
      <w:proofErr w:type="spellStart"/>
      <w:r w:rsidRPr="002F7029">
        <w:rPr>
          <w:rFonts w:ascii="Times New Roman" w:eastAsia="Times New Roman" w:hAnsi="Times New Roman" w:cs="Times New Roman"/>
          <w:bCs/>
          <w:sz w:val="17"/>
          <w:szCs w:val="17"/>
          <w:lang w:val="en-IN"/>
        </w:rPr>
        <w:t>PhenoFlex</w:t>
      </w:r>
      <w:proofErr w:type="spellEnd"/>
      <w:r w:rsidRPr="002F7029">
        <w:rPr>
          <w:rFonts w:ascii="Times New Roman" w:eastAsia="Times New Roman" w:hAnsi="Times New Roman" w:cs="Times New Roman"/>
          <w:bCs/>
          <w:sz w:val="17"/>
          <w:szCs w:val="17"/>
          <w:lang w:val="en-IN"/>
        </w:rPr>
        <w:t xml:space="preserve"> model and a frost threshold of −1 °C, indicated persistent rather than sharply increasing frost risk (Caspersen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2025). The April 2017 frost in Switzerland and Germany, which followed an exceptionally warm March and early leaf-out, shows that a single event can cause damage that is unprecedented in the regional record (</w:t>
      </w:r>
      <w:proofErr w:type="spellStart"/>
      <w:r w:rsidRPr="002F7029">
        <w:rPr>
          <w:rFonts w:ascii="Times New Roman" w:eastAsia="Times New Roman" w:hAnsi="Times New Roman" w:cs="Times New Roman"/>
          <w:bCs/>
          <w:sz w:val="17"/>
          <w:szCs w:val="17"/>
          <w:lang w:val="en-IN"/>
        </w:rPr>
        <w:t>Vitasse</w:t>
      </w:r>
      <w:proofErr w:type="spellEnd"/>
      <w:r w:rsidRPr="002F7029">
        <w:rPr>
          <w:rFonts w:ascii="Times New Roman" w:eastAsia="Times New Roman" w:hAnsi="Times New Roman" w:cs="Times New Roman"/>
          <w:bCs/>
          <w:sz w:val="17"/>
          <w:szCs w:val="17"/>
          <w:lang w:val="en-IN"/>
        </w:rPr>
        <w:t xml:space="preserve"> &amp; </w:t>
      </w:r>
      <w:proofErr w:type="spellStart"/>
      <w:r w:rsidRPr="002F7029">
        <w:rPr>
          <w:rFonts w:ascii="Times New Roman" w:eastAsia="Times New Roman" w:hAnsi="Times New Roman" w:cs="Times New Roman"/>
          <w:bCs/>
          <w:sz w:val="17"/>
          <w:szCs w:val="17"/>
          <w:lang w:val="en-IN"/>
        </w:rPr>
        <w:t>Rebetez</w:t>
      </w:r>
      <w:proofErr w:type="spellEnd"/>
      <w:r w:rsidRPr="002F7029">
        <w:rPr>
          <w:rFonts w:ascii="Times New Roman" w:eastAsia="Times New Roman" w:hAnsi="Times New Roman" w:cs="Times New Roman"/>
          <w:bCs/>
          <w:sz w:val="17"/>
          <w:szCs w:val="17"/>
          <w:lang w:val="en-IN"/>
        </w:rPr>
        <w:t>, 2018). A Swiss analysis also found that the risk of exposure of fruit and forest trees to spring frost has increased at higher elevations (</w:t>
      </w:r>
      <w:proofErr w:type="spellStart"/>
      <w:r w:rsidRPr="002F7029">
        <w:rPr>
          <w:rFonts w:ascii="Times New Roman" w:eastAsia="Times New Roman" w:hAnsi="Times New Roman" w:cs="Times New Roman"/>
          <w:bCs/>
          <w:sz w:val="17"/>
          <w:szCs w:val="17"/>
          <w:lang w:val="en-IN"/>
        </w:rPr>
        <w:t>Vitasse</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2018), which is directly relevant to the upslope relocation of orchards observed in mountain regions (Sahu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The apparent disagreement among studies is largely explained by differences in cultivar phenology, the frost thresholds assumed and the treatment of </w:t>
      </w:r>
      <w:proofErr w:type="spellStart"/>
      <w:r w:rsidRPr="002F7029">
        <w:rPr>
          <w:rFonts w:ascii="Times New Roman" w:eastAsia="Times New Roman" w:hAnsi="Times New Roman" w:cs="Times New Roman"/>
          <w:bCs/>
          <w:sz w:val="17"/>
          <w:szCs w:val="17"/>
          <w:lang w:val="en-IN"/>
        </w:rPr>
        <w:t>dehardening</w:t>
      </w:r>
      <w:proofErr w:type="spellEnd"/>
      <w:r w:rsidRPr="002F7029">
        <w:rPr>
          <w:rFonts w:ascii="Times New Roman" w:eastAsia="Times New Roman" w:hAnsi="Times New Roman" w:cs="Times New Roman"/>
          <w:bCs/>
          <w:sz w:val="17"/>
          <w:szCs w:val="17"/>
          <w:lang w:val="en-IN"/>
        </w:rPr>
        <w:t>, since freezing tolerance declines progressively as buds develop and is coupled to both temperature and photoperiod (</w:t>
      </w:r>
      <w:proofErr w:type="spellStart"/>
      <w:r w:rsidRPr="002F7029">
        <w:rPr>
          <w:rFonts w:ascii="Times New Roman" w:eastAsia="Times New Roman" w:hAnsi="Times New Roman" w:cs="Times New Roman"/>
          <w:bCs/>
          <w:sz w:val="17"/>
          <w:szCs w:val="17"/>
          <w:lang w:val="en-IN"/>
        </w:rPr>
        <w:t>Vitasse</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2014). A further limitation is that most risk models use screen-level air temperature, whereas measurements in an orchard under wind-machine operation showed that plant tissue temperature depends on air mixing and boundary-layer processes that air temperature alone does not capture (</w:t>
      </w:r>
      <w:proofErr w:type="spellStart"/>
      <w:r w:rsidRPr="002F7029">
        <w:rPr>
          <w:rFonts w:ascii="Times New Roman" w:eastAsia="Times New Roman" w:hAnsi="Times New Roman" w:cs="Times New Roman"/>
          <w:bCs/>
          <w:sz w:val="17"/>
          <w:szCs w:val="17"/>
          <w:lang w:val="en-IN"/>
        </w:rPr>
        <w:t>Boekee</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2023). Frost risk should therefore be treated as a site-, cultivar- and stage-specific hazard rather than as a general consequence of warming.</w:t>
      </w:r>
    </w:p>
    <w:p w14:paraId="3516E275"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73A0078E"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3.3 Heat, Fruit Surface Temperature and the Decoupling of Fruit Quality</w:t>
      </w:r>
    </w:p>
    <w:p w14:paraId="04C49242" w14:textId="77777777" w:rsidR="001C1531" w:rsidRPr="002F7029" w:rsidRDefault="001C1531" w:rsidP="00B821B1">
      <w:pPr>
        <w:spacing w:after="0" w:line="240" w:lineRule="auto"/>
        <w:contextualSpacing/>
        <w:jc w:val="both"/>
        <w:rPr>
          <w:rFonts w:ascii="Times New Roman" w:eastAsia="Times New Roman" w:hAnsi="Times New Roman" w:cs="Times New Roman"/>
          <w:b/>
          <w:bCs/>
          <w:i/>
          <w:iCs/>
          <w:sz w:val="17"/>
          <w:szCs w:val="17"/>
          <w:lang w:val="en-IN"/>
        </w:rPr>
      </w:pPr>
    </w:p>
    <w:p w14:paraId="5D4EB710"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High temperatures affect fruit trees through disruption of cellular homeostasis, impaired photosynthesis and altered metabolism, and they compromise both yield and quality (Li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2023). Sexual reproduction is particularly sensitive to high temperature, with effects documented on pollen development, pollen tube growth and fertilisation (</w:t>
      </w:r>
      <w:proofErr w:type="spellStart"/>
      <w:r w:rsidRPr="002F7029">
        <w:rPr>
          <w:rFonts w:ascii="Times New Roman" w:eastAsia="Times New Roman" w:hAnsi="Times New Roman" w:cs="Times New Roman"/>
          <w:bCs/>
          <w:sz w:val="17"/>
          <w:szCs w:val="17"/>
          <w:lang w:val="en-IN"/>
        </w:rPr>
        <w:t>Hedhly</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2009). For fruit exposed to direct sunlight, the relevant temperature is that of the fruit surface rather than the surrounding air. Observations on clear summer days showed that the maximum surface temperature of apple and satsuma mandarin (</w:t>
      </w:r>
      <w:r w:rsidRPr="002F7029">
        <w:rPr>
          <w:rFonts w:ascii="Times New Roman" w:eastAsia="Times New Roman" w:hAnsi="Times New Roman" w:cs="Times New Roman"/>
          <w:bCs/>
          <w:i/>
          <w:iCs/>
          <w:sz w:val="17"/>
          <w:szCs w:val="17"/>
          <w:lang w:val="en-IN"/>
        </w:rPr>
        <w:t xml:space="preserve">Citrus </w:t>
      </w:r>
      <w:proofErr w:type="spellStart"/>
      <w:r w:rsidRPr="002F7029">
        <w:rPr>
          <w:rFonts w:ascii="Times New Roman" w:eastAsia="Times New Roman" w:hAnsi="Times New Roman" w:cs="Times New Roman"/>
          <w:bCs/>
          <w:i/>
          <w:iCs/>
          <w:sz w:val="17"/>
          <w:szCs w:val="17"/>
          <w:lang w:val="en-IN"/>
        </w:rPr>
        <w:t>unshiu</w:t>
      </w:r>
      <w:proofErr w:type="spellEnd"/>
      <w:r w:rsidRPr="002F7029">
        <w:rPr>
          <w:rFonts w:ascii="Times New Roman" w:eastAsia="Times New Roman" w:hAnsi="Times New Roman" w:cs="Times New Roman"/>
          <w:bCs/>
          <w:sz w:val="17"/>
          <w:szCs w:val="17"/>
          <w:lang w:val="en-IN"/>
        </w:rPr>
        <w:t xml:space="preserve"> Marc.) fruit exceeded the daily maximum air temperature by at least 15 °C, with the highest values on the surface facing south-west to west (Konno &amp; Sugiura, 2024). Sunburn necrosis, sunburn browning and photo-oxidative sunburn in apple are induced by excess radiant heating and excess light, with humidity, wind, fruit acclimation and cultural practices acting as modifiers (</w:t>
      </w:r>
      <w:proofErr w:type="spellStart"/>
      <w:r w:rsidRPr="002F7029">
        <w:rPr>
          <w:rFonts w:ascii="Times New Roman" w:eastAsia="Times New Roman" w:hAnsi="Times New Roman" w:cs="Times New Roman"/>
          <w:bCs/>
          <w:sz w:val="17"/>
          <w:szCs w:val="17"/>
          <w:lang w:val="en-IN"/>
        </w:rPr>
        <w:t>Racsko</w:t>
      </w:r>
      <w:proofErr w:type="spellEnd"/>
      <w:r w:rsidRPr="002F7029">
        <w:rPr>
          <w:rFonts w:ascii="Times New Roman" w:eastAsia="Times New Roman" w:hAnsi="Times New Roman" w:cs="Times New Roman"/>
          <w:bCs/>
          <w:sz w:val="17"/>
          <w:szCs w:val="17"/>
          <w:lang w:val="en-IN"/>
        </w:rPr>
        <w:t xml:space="preserve"> &amp; Schrader, 2012). In grapevine, sunburn results from the combination of photosynthetically active radiation, ultraviolet radiation and temperature and is aggravated by water deficit (J. M. Gambetta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2021).</w:t>
      </w:r>
    </w:p>
    <w:p w14:paraId="52BB4D63"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2FD1D0FB"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Heat also alters the composition of fruit that escapes visible damage. Elevated temperature decoupled anthocyanin accumulation from the accumulation of soluble solids in Shiraz and Cabernet Franc berries (</w:t>
      </w:r>
      <w:proofErr w:type="spellStart"/>
      <w:r w:rsidRPr="002F7029">
        <w:rPr>
          <w:rFonts w:ascii="Times New Roman" w:eastAsia="Times New Roman" w:hAnsi="Times New Roman" w:cs="Times New Roman"/>
          <w:bCs/>
          <w:sz w:val="17"/>
          <w:szCs w:val="17"/>
          <w:lang w:val="en-IN"/>
        </w:rPr>
        <w:t>Sadras</w:t>
      </w:r>
      <w:proofErr w:type="spellEnd"/>
      <w:r w:rsidRPr="002F7029">
        <w:rPr>
          <w:rFonts w:ascii="Times New Roman" w:eastAsia="Times New Roman" w:hAnsi="Times New Roman" w:cs="Times New Roman"/>
          <w:bCs/>
          <w:sz w:val="17"/>
          <w:szCs w:val="17"/>
          <w:lang w:val="en-IN"/>
        </w:rPr>
        <w:t xml:space="preserve"> &amp; Moran, 2012), and grapevine heat stress has been associated with changes in phenology, berry composition and varietal suitability (</w:t>
      </w:r>
      <w:proofErr w:type="spellStart"/>
      <w:r w:rsidRPr="002F7029">
        <w:rPr>
          <w:rFonts w:ascii="Times New Roman" w:eastAsia="Times New Roman" w:hAnsi="Times New Roman" w:cs="Times New Roman"/>
          <w:bCs/>
          <w:sz w:val="17"/>
          <w:szCs w:val="17"/>
          <w:lang w:val="en-IN"/>
        </w:rPr>
        <w:t>Venios</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For the table grape cultivar </w:t>
      </w:r>
      <w:proofErr w:type="spellStart"/>
      <w:r w:rsidRPr="002F7029">
        <w:rPr>
          <w:rFonts w:ascii="Times New Roman" w:eastAsia="Times New Roman" w:hAnsi="Times New Roman" w:cs="Times New Roman"/>
          <w:bCs/>
          <w:sz w:val="17"/>
          <w:szCs w:val="17"/>
          <w:lang w:val="en-IN"/>
        </w:rPr>
        <w:t>Kyoho</w:t>
      </w:r>
      <w:proofErr w:type="spellEnd"/>
      <w:r w:rsidRPr="002F7029">
        <w:rPr>
          <w:rFonts w:ascii="Times New Roman" w:eastAsia="Times New Roman" w:hAnsi="Times New Roman" w:cs="Times New Roman"/>
          <w:bCs/>
          <w:sz w:val="17"/>
          <w:szCs w:val="17"/>
          <w:lang w:val="en-IN"/>
        </w:rPr>
        <w:t xml:space="preserve"> in Japan, simulations projected that the skin colour rating in open fields would decline from 9.4 in 1981–2000 to 7.9 in 2031–2050 and 7.0 in 2081–2100 under a moderate emissions pathway (Sugiura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2019). Declining acidity and firmness of Japanese apples over three to four decades provides observational evidence that such shifts are already occurring (Sugiura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2013).</w:t>
      </w:r>
    </w:p>
    <w:p w14:paraId="539091D8"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1F4B03CE" w14:textId="77777777" w:rsidR="001C1531"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At the scale of production regions, projections are more contested. A global assessment estimated that the area suitable for viticulture in major wine-producing regions could fall by 25% to 73% by 2050 under the high-emission representative concentration pathway (RCP) 8.5 (Hannah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2013), a conclusion criticised for underestimating the capacity of growers to adapt through cultivar, rootstock and management changes (van Leeuwen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2013). Subsequent European analyses that explicitly modelled grapevine phenology projected a non-linear loss of suitable area with increasing global warming (</w:t>
      </w:r>
      <w:proofErr w:type="spellStart"/>
      <w:r w:rsidRPr="002F7029">
        <w:rPr>
          <w:rFonts w:ascii="Times New Roman" w:eastAsia="Times New Roman" w:hAnsi="Times New Roman" w:cs="Times New Roman"/>
          <w:bCs/>
          <w:sz w:val="17"/>
          <w:szCs w:val="17"/>
          <w:lang w:val="en-IN"/>
        </w:rPr>
        <w:t>Sgubin</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2023), and a recent synthesis concluded that about 90% of traditional wine regions in coastal and lowland areas of Spain, Italy, Greece and southern California could be at risk of disappearing by the end of the century because of excessive drought and more frequent heatwaves, while noting that the extent of change depends strongly on the level of warming (van Leeuwen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2024). A vulnerability assessment of 1085 European wine geographical indications found that sensitivity is increased by regulatory rigidity that restricts varietal diversity (</w:t>
      </w:r>
      <w:proofErr w:type="spellStart"/>
      <w:r w:rsidRPr="002F7029">
        <w:rPr>
          <w:rFonts w:ascii="Times New Roman" w:eastAsia="Times New Roman" w:hAnsi="Times New Roman" w:cs="Times New Roman"/>
          <w:bCs/>
          <w:sz w:val="17"/>
          <w:szCs w:val="17"/>
          <w:lang w:val="en-IN"/>
        </w:rPr>
        <w:t>Tscholl</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2024). The disagreement among these studies arises less from the physiology than from assumptions about adaptive capacity, which is precisely the domain addressed by the levers reviewed here.</w:t>
      </w:r>
    </w:p>
    <w:p w14:paraId="351D933E" w14:textId="77777777" w:rsidR="004F6249" w:rsidRDefault="004F6249" w:rsidP="00B821B1">
      <w:pPr>
        <w:spacing w:after="0" w:line="240" w:lineRule="auto"/>
        <w:contextualSpacing/>
        <w:jc w:val="both"/>
        <w:rPr>
          <w:rFonts w:ascii="Times New Roman" w:eastAsia="Times New Roman" w:hAnsi="Times New Roman" w:cs="Times New Roman"/>
          <w:bCs/>
          <w:sz w:val="17"/>
          <w:szCs w:val="17"/>
          <w:lang w:val="en-IN"/>
        </w:rPr>
      </w:pPr>
    </w:p>
    <w:p w14:paraId="5EE64739" w14:textId="77777777" w:rsidR="004F6249" w:rsidRDefault="004F6249" w:rsidP="00B821B1">
      <w:pPr>
        <w:spacing w:after="0" w:line="240" w:lineRule="auto"/>
        <w:contextualSpacing/>
        <w:jc w:val="both"/>
        <w:rPr>
          <w:rFonts w:ascii="Times New Roman" w:eastAsia="Times New Roman" w:hAnsi="Times New Roman" w:cs="Times New Roman"/>
          <w:bCs/>
          <w:sz w:val="17"/>
          <w:szCs w:val="17"/>
          <w:lang w:val="en-IN"/>
        </w:rPr>
        <w:sectPr w:rsidR="004F6249" w:rsidSect="009506F4">
          <w:headerReference w:type="default" r:id="rId10"/>
          <w:footerReference w:type="default" r:id="rId11"/>
          <w:footerReference w:type="first" r:id="rId12"/>
          <w:type w:val="continuous"/>
          <w:pgSz w:w="11909" w:h="16834" w:code="9"/>
          <w:pgMar w:top="1440" w:right="1440" w:bottom="1440" w:left="1440" w:header="720" w:footer="864" w:gutter="0"/>
          <w:pgNumType w:start="765"/>
          <w:cols w:space="720"/>
          <w:titlePg/>
          <w:docGrid w:linePitch="360"/>
        </w:sectPr>
      </w:pPr>
    </w:p>
    <w:p w14:paraId="44D0BEAE" w14:textId="77777777" w:rsidR="004F6249" w:rsidRPr="004F6249" w:rsidRDefault="004F6249" w:rsidP="00B821B1">
      <w:pPr>
        <w:spacing w:after="0" w:line="240" w:lineRule="auto"/>
        <w:contextualSpacing/>
        <w:jc w:val="center"/>
        <w:rPr>
          <w:rFonts w:ascii="Times New Roman" w:eastAsia="Times New Roman" w:hAnsi="Times New Roman" w:cs="Times New Roman"/>
          <w:b/>
          <w:bCs/>
          <w:sz w:val="17"/>
          <w:szCs w:val="17"/>
          <w:lang w:val="en-IN"/>
        </w:rPr>
      </w:pPr>
      <w:r w:rsidRPr="004F6249">
        <w:rPr>
          <w:rFonts w:ascii="Times New Roman" w:eastAsia="Times New Roman" w:hAnsi="Times New Roman" w:cs="Times New Roman"/>
          <w:b/>
          <w:bCs/>
          <w:sz w:val="17"/>
          <w:szCs w:val="17"/>
          <w:lang w:val="en-IN"/>
        </w:rPr>
        <w:lastRenderedPageBreak/>
        <w:t>Table 2. Principal climatic hazards for perennial fruit production, their physiological mechanisms, the confidence attached to current evidence and the adaptation levers that address them</w:t>
      </w:r>
    </w:p>
    <w:p w14:paraId="17300197" w14:textId="77777777" w:rsidR="004F6249" w:rsidRPr="002F7029" w:rsidRDefault="004F6249" w:rsidP="00B821B1">
      <w:pPr>
        <w:spacing w:after="0" w:line="240" w:lineRule="auto"/>
        <w:contextualSpacing/>
        <w:jc w:val="both"/>
        <w:rPr>
          <w:rFonts w:ascii="Times New Roman" w:eastAsia="Times New Roman" w:hAnsi="Times New Roman" w:cs="Times New Roman"/>
          <w:bCs/>
          <w:sz w:val="17"/>
          <w:szCs w:val="17"/>
          <w:lang w:val="en-IN"/>
        </w:rPr>
      </w:pPr>
    </w:p>
    <w:tbl>
      <w:tblPr>
        <w:tblStyle w:val="TableGrid"/>
        <w:tblW w:w="4910" w:type="pct"/>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774"/>
        <w:gridCol w:w="2437"/>
        <w:gridCol w:w="2250"/>
        <w:gridCol w:w="2340"/>
        <w:gridCol w:w="2250"/>
        <w:gridCol w:w="2864"/>
      </w:tblGrid>
      <w:tr w:rsidR="004F6249" w:rsidRPr="002F7029" w14:paraId="0A412B8F" w14:textId="77777777" w:rsidTr="004F6249">
        <w:trPr>
          <w:trHeight w:val="20"/>
          <w:jc w:val="center"/>
        </w:trPr>
        <w:tc>
          <w:tcPr>
            <w:tcW w:w="1774" w:type="dxa"/>
          </w:tcPr>
          <w:p w14:paraId="27B9B24F"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Hazard</w:t>
            </w:r>
          </w:p>
        </w:tc>
        <w:tc>
          <w:tcPr>
            <w:tcW w:w="2437" w:type="dxa"/>
          </w:tcPr>
          <w:p w14:paraId="19FA39DF"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Principal mechanism</w:t>
            </w:r>
          </w:p>
        </w:tc>
        <w:tc>
          <w:tcPr>
            <w:tcW w:w="2250" w:type="dxa"/>
          </w:tcPr>
          <w:p w14:paraId="2F8AEA31"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State of evidence and confidence</w:t>
            </w:r>
          </w:p>
        </w:tc>
        <w:tc>
          <w:tcPr>
            <w:tcW w:w="2340" w:type="dxa"/>
          </w:tcPr>
          <w:p w14:paraId="7F472CE5"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Main sources of uncertainty</w:t>
            </w:r>
          </w:p>
        </w:tc>
        <w:tc>
          <w:tcPr>
            <w:tcW w:w="2250" w:type="dxa"/>
          </w:tcPr>
          <w:p w14:paraId="689237E3"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Levers addressing the hazard</w:t>
            </w:r>
          </w:p>
        </w:tc>
        <w:tc>
          <w:tcPr>
            <w:tcW w:w="2864" w:type="dxa"/>
          </w:tcPr>
          <w:p w14:paraId="4C76F27B"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Supporting references</w:t>
            </w:r>
          </w:p>
        </w:tc>
      </w:tr>
      <w:tr w:rsidR="004F6249" w:rsidRPr="002F7029" w14:paraId="3CD08951" w14:textId="77777777" w:rsidTr="004F6249">
        <w:trPr>
          <w:trHeight w:val="20"/>
          <w:jc w:val="center"/>
        </w:trPr>
        <w:tc>
          <w:tcPr>
            <w:tcW w:w="1774" w:type="dxa"/>
          </w:tcPr>
          <w:p w14:paraId="0130BC62"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Declining winter chill</w:t>
            </w:r>
          </w:p>
        </w:tc>
        <w:tc>
          <w:tcPr>
            <w:tcW w:w="2437" w:type="dxa"/>
          </w:tcPr>
          <w:p w14:paraId="45B7AE41"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Incomplete endodormancy release; erratic bud break, extended flowering and reduced fruit set</w:t>
            </w:r>
          </w:p>
        </w:tc>
        <w:tc>
          <w:tcPr>
            <w:tcW w:w="2250" w:type="dxa"/>
          </w:tcPr>
          <w:p w14:paraId="32A4C55D"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High confidence in declining chill in warm regions from global and regional projections and grower observations</w:t>
            </w:r>
          </w:p>
        </w:tc>
        <w:tc>
          <w:tcPr>
            <w:tcW w:w="2340" w:type="dxa"/>
          </w:tcPr>
          <w:p w14:paraId="7634463E"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Non-proportional chill models; cultivar requirements estimated with diverse methods; few validated phenology models</w:t>
            </w:r>
          </w:p>
        </w:tc>
        <w:tc>
          <w:tcPr>
            <w:tcW w:w="2250" w:type="dxa"/>
          </w:tcPr>
          <w:p w14:paraId="4E77A0F9"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Low-chill cultivars; phenology-informed site selection; dormancy-breaking agents as partial compensation</w:t>
            </w:r>
          </w:p>
        </w:tc>
        <w:tc>
          <w:tcPr>
            <w:tcW w:w="2864" w:type="dxa"/>
          </w:tcPr>
          <w:p w14:paraId="5E675263"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Atkinson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(2013); Fadón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(2020); E. Fernandez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(2023); Luedeling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 xml:space="preserve">(2011); </w:t>
            </w:r>
            <w:proofErr w:type="spellStart"/>
            <w:r w:rsidRPr="002F7029">
              <w:rPr>
                <w:rFonts w:ascii="Times New Roman" w:eastAsia="Times New Roman" w:hAnsi="Times New Roman"/>
                <w:bCs/>
                <w:sz w:val="17"/>
                <w:szCs w:val="17"/>
                <w:lang w:val="en-IN"/>
              </w:rPr>
              <w:t>Luedeling</w:t>
            </w:r>
            <w:proofErr w:type="spellEnd"/>
            <w:r w:rsidRPr="002F7029">
              <w:rPr>
                <w:rFonts w:ascii="Times New Roman" w:eastAsia="Times New Roman" w:hAnsi="Times New Roman"/>
                <w:bCs/>
                <w:sz w:val="17"/>
                <w:szCs w:val="17"/>
                <w:lang w:val="en-IN"/>
              </w:rPr>
              <w:t xml:space="preserve"> &amp; Brown (2011); </w:t>
            </w:r>
            <w:proofErr w:type="spellStart"/>
            <w:r w:rsidRPr="002F7029">
              <w:rPr>
                <w:rFonts w:ascii="Times New Roman" w:eastAsia="Times New Roman" w:hAnsi="Times New Roman"/>
                <w:bCs/>
                <w:sz w:val="17"/>
                <w:szCs w:val="17"/>
                <w:lang w:val="en-IN"/>
              </w:rPr>
              <w:t>Luedeling</w:t>
            </w:r>
            <w:proofErr w:type="spellEnd"/>
            <w:r w:rsidRPr="002F7029">
              <w:rPr>
                <w:rFonts w:ascii="Times New Roman" w:eastAsia="Times New Roman" w:hAnsi="Times New Roman"/>
                <w:bCs/>
                <w:sz w:val="17"/>
                <w:szCs w:val="17"/>
                <w:lang w:val="en-IN"/>
              </w:rPr>
              <w:t xml:space="preserve">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(2021); Salama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(2021)</w:t>
            </w:r>
          </w:p>
        </w:tc>
      </w:tr>
      <w:tr w:rsidR="004F6249" w:rsidRPr="002F7029" w14:paraId="43507042" w14:textId="77777777" w:rsidTr="004F6249">
        <w:trPr>
          <w:trHeight w:val="20"/>
          <w:jc w:val="center"/>
        </w:trPr>
        <w:tc>
          <w:tcPr>
            <w:tcW w:w="1774" w:type="dxa"/>
          </w:tcPr>
          <w:p w14:paraId="2730AABD"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Spring frost after advanced phenology</w:t>
            </w:r>
          </w:p>
        </w:tc>
        <w:tc>
          <w:tcPr>
            <w:tcW w:w="2437" w:type="dxa"/>
          </w:tcPr>
          <w:p w14:paraId="1112E4FD"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 xml:space="preserve">Earlier </w:t>
            </w:r>
            <w:proofErr w:type="spellStart"/>
            <w:r w:rsidRPr="002F7029">
              <w:rPr>
                <w:rFonts w:ascii="Times New Roman" w:eastAsia="Times New Roman" w:hAnsi="Times New Roman"/>
                <w:bCs/>
                <w:sz w:val="17"/>
                <w:szCs w:val="17"/>
                <w:lang w:val="en-IN"/>
              </w:rPr>
              <w:t>dehardening</w:t>
            </w:r>
            <w:proofErr w:type="spellEnd"/>
            <w:r w:rsidRPr="002F7029">
              <w:rPr>
                <w:rFonts w:ascii="Times New Roman" w:eastAsia="Times New Roman" w:hAnsi="Times New Roman"/>
                <w:bCs/>
                <w:sz w:val="17"/>
                <w:szCs w:val="17"/>
                <w:lang w:val="en-IN"/>
              </w:rPr>
              <w:t xml:space="preserve"> and bloom increase exposure of sensitive organs to late cold spells</w:t>
            </w:r>
          </w:p>
        </w:tc>
        <w:tc>
          <w:tcPr>
            <w:tcW w:w="2250" w:type="dxa"/>
          </w:tcPr>
          <w:p w14:paraId="1CE76699"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Moderate confidence; risk increases in some regions and stays persistent or decreases in others</w:t>
            </w:r>
          </w:p>
        </w:tc>
        <w:tc>
          <w:tcPr>
            <w:tcW w:w="2340" w:type="dxa"/>
          </w:tcPr>
          <w:p w14:paraId="7457C742"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 xml:space="preserve">Cultivar phenology; frost thresholds; </w:t>
            </w:r>
            <w:proofErr w:type="spellStart"/>
            <w:r w:rsidRPr="002F7029">
              <w:rPr>
                <w:rFonts w:ascii="Times New Roman" w:eastAsia="Times New Roman" w:hAnsi="Times New Roman"/>
                <w:bCs/>
                <w:sz w:val="17"/>
                <w:szCs w:val="17"/>
                <w:lang w:val="en-IN"/>
              </w:rPr>
              <w:t>dehardening</w:t>
            </w:r>
            <w:proofErr w:type="spellEnd"/>
            <w:r w:rsidRPr="002F7029">
              <w:rPr>
                <w:rFonts w:ascii="Times New Roman" w:eastAsia="Times New Roman" w:hAnsi="Times New Roman"/>
                <w:bCs/>
                <w:sz w:val="17"/>
                <w:szCs w:val="17"/>
                <w:lang w:val="en-IN"/>
              </w:rPr>
              <w:t xml:space="preserve"> dynamics; air versus tissue temperature</w:t>
            </w:r>
          </w:p>
        </w:tc>
        <w:tc>
          <w:tcPr>
            <w:tcW w:w="2250" w:type="dxa"/>
          </w:tcPr>
          <w:p w14:paraId="66841A59"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Late-flowering genotypes; site selection; active frost protection</w:t>
            </w:r>
          </w:p>
        </w:tc>
        <w:tc>
          <w:tcPr>
            <w:tcW w:w="2864" w:type="dxa"/>
          </w:tcPr>
          <w:p w14:paraId="74F3AD68"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Boekee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(2023); Caspersen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(2025); Pfleiderer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(2019); Unterberger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 xml:space="preserve">(2018); </w:t>
            </w:r>
            <w:proofErr w:type="spellStart"/>
            <w:r w:rsidRPr="002F7029">
              <w:rPr>
                <w:rFonts w:ascii="Times New Roman" w:eastAsia="Times New Roman" w:hAnsi="Times New Roman"/>
                <w:bCs/>
                <w:sz w:val="17"/>
                <w:szCs w:val="17"/>
                <w:lang w:val="en-IN"/>
              </w:rPr>
              <w:t>Vitasse</w:t>
            </w:r>
            <w:proofErr w:type="spellEnd"/>
            <w:r w:rsidRPr="002F7029">
              <w:rPr>
                <w:rFonts w:ascii="Times New Roman" w:eastAsia="Times New Roman" w:hAnsi="Times New Roman"/>
                <w:bCs/>
                <w:sz w:val="17"/>
                <w:szCs w:val="17"/>
                <w:lang w:val="en-IN"/>
              </w:rPr>
              <w:t xml:space="preserve">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(2014); Zohner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(2020)</w:t>
            </w:r>
          </w:p>
        </w:tc>
      </w:tr>
      <w:tr w:rsidR="004F6249" w:rsidRPr="002F7029" w14:paraId="71A20A49" w14:textId="77777777" w:rsidTr="004F6249">
        <w:trPr>
          <w:trHeight w:val="20"/>
          <w:jc w:val="center"/>
        </w:trPr>
        <w:tc>
          <w:tcPr>
            <w:tcW w:w="1774" w:type="dxa"/>
          </w:tcPr>
          <w:p w14:paraId="7FEF6904"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Heat and fruit sunburn</w:t>
            </w:r>
          </w:p>
        </w:tc>
        <w:tc>
          <w:tcPr>
            <w:tcW w:w="2437" w:type="dxa"/>
          </w:tcPr>
          <w:p w14:paraId="1E9CC4E0"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Radiant heating raises fruit surface temperature well above air temperature; photo-oxidative and thermal tissue damage</w:t>
            </w:r>
          </w:p>
        </w:tc>
        <w:tc>
          <w:tcPr>
            <w:tcW w:w="2250" w:type="dxa"/>
          </w:tcPr>
          <w:p w14:paraId="7F399A1E"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High confidence in mechanism; moderate confidence in regional loss estimates</w:t>
            </w:r>
          </w:p>
        </w:tc>
        <w:tc>
          <w:tcPr>
            <w:tcW w:w="2340" w:type="dxa"/>
          </w:tcPr>
          <w:p w14:paraId="5FDA5B72"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Interaction with humidity, wind, fruit acclimation and water status</w:t>
            </w:r>
          </w:p>
        </w:tc>
        <w:tc>
          <w:tcPr>
            <w:tcW w:w="2250" w:type="dxa"/>
          </w:tcPr>
          <w:p w14:paraId="56F309A4"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Netting, evaporative cooling, particle films, canopy design, irrigation timing</w:t>
            </w:r>
          </w:p>
        </w:tc>
        <w:tc>
          <w:tcPr>
            <w:tcW w:w="2864" w:type="dxa"/>
          </w:tcPr>
          <w:p w14:paraId="44C5C1A1"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J. M. Gambetta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 xml:space="preserve">(2021); Konno &amp; Sugiura (2024); </w:t>
            </w:r>
            <w:proofErr w:type="spellStart"/>
            <w:r w:rsidRPr="002F7029">
              <w:rPr>
                <w:rFonts w:ascii="Times New Roman" w:eastAsia="Times New Roman" w:hAnsi="Times New Roman"/>
                <w:bCs/>
                <w:sz w:val="17"/>
                <w:szCs w:val="17"/>
                <w:lang w:val="en-IN"/>
              </w:rPr>
              <w:t>Racsko</w:t>
            </w:r>
            <w:proofErr w:type="spellEnd"/>
            <w:r w:rsidRPr="002F7029">
              <w:rPr>
                <w:rFonts w:ascii="Times New Roman" w:eastAsia="Times New Roman" w:hAnsi="Times New Roman"/>
                <w:bCs/>
                <w:sz w:val="17"/>
                <w:szCs w:val="17"/>
                <w:lang w:val="en-IN"/>
              </w:rPr>
              <w:t xml:space="preserve"> &amp; Schrader (2012)</w:t>
            </w:r>
          </w:p>
        </w:tc>
      </w:tr>
      <w:tr w:rsidR="004F6249" w:rsidRPr="002F7029" w14:paraId="5168520C" w14:textId="77777777" w:rsidTr="004F6249">
        <w:trPr>
          <w:trHeight w:val="20"/>
          <w:jc w:val="center"/>
        </w:trPr>
        <w:tc>
          <w:tcPr>
            <w:tcW w:w="1774" w:type="dxa"/>
          </w:tcPr>
          <w:p w14:paraId="707199B0"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Heat-driven quality change</w:t>
            </w:r>
          </w:p>
        </w:tc>
        <w:tc>
          <w:tcPr>
            <w:tcW w:w="2437" w:type="dxa"/>
          </w:tcPr>
          <w:p w14:paraId="5121E8DA"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Decoupling of colour and sugar accumulation; reduced acidity and firmness</w:t>
            </w:r>
          </w:p>
        </w:tc>
        <w:tc>
          <w:tcPr>
            <w:tcW w:w="2250" w:type="dxa"/>
          </w:tcPr>
          <w:p w14:paraId="1CEECD09"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High confidence from controlled experiments and long-term records</w:t>
            </w:r>
          </w:p>
        </w:tc>
        <w:tc>
          <w:tcPr>
            <w:tcW w:w="2340" w:type="dxa"/>
          </w:tcPr>
          <w:p w14:paraId="103CA3F2"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Separation of temperature effects from changes in harvest timing and cultivar mix</w:t>
            </w:r>
          </w:p>
        </w:tc>
        <w:tc>
          <w:tcPr>
            <w:tcW w:w="2250" w:type="dxa"/>
          </w:tcPr>
          <w:p w14:paraId="016A2DF2"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Cultivar choice; canopy shading; phenological shift through management</w:t>
            </w:r>
          </w:p>
        </w:tc>
        <w:tc>
          <w:tcPr>
            <w:tcW w:w="2864" w:type="dxa"/>
          </w:tcPr>
          <w:p w14:paraId="617144C6"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Sadras &amp; Moran (2012); Sugiura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(2013); Sugiura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 xml:space="preserve">(2019); </w:t>
            </w:r>
            <w:proofErr w:type="spellStart"/>
            <w:r w:rsidRPr="002F7029">
              <w:rPr>
                <w:rFonts w:ascii="Times New Roman" w:eastAsia="Times New Roman" w:hAnsi="Times New Roman"/>
                <w:bCs/>
                <w:sz w:val="17"/>
                <w:szCs w:val="17"/>
                <w:lang w:val="en-IN"/>
              </w:rPr>
              <w:t>Venios</w:t>
            </w:r>
            <w:proofErr w:type="spellEnd"/>
            <w:r w:rsidRPr="002F7029">
              <w:rPr>
                <w:rFonts w:ascii="Times New Roman" w:eastAsia="Times New Roman" w:hAnsi="Times New Roman"/>
                <w:bCs/>
                <w:sz w:val="17"/>
                <w:szCs w:val="17"/>
                <w:lang w:val="en-IN"/>
              </w:rPr>
              <w:t xml:space="preserve">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(2020)</w:t>
            </w:r>
          </w:p>
        </w:tc>
      </w:tr>
      <w:tr w:rsidR="004F6249" w:rsidRPr="002F7029" w14:paraId="30114828" w14:textId="77777777" w:rsidTr="004F6249">
        <w:trPr>
          <w:trHeight w:val="20"/>
          <w:jc w:val="center"/>
        </w:trPr>
        <w:tc>
          <w:tcPr>
            <w:tcW w:w="1774" w:type="dxa"/>
          </w:tcPr>
          <w:p w14:paraId="2A206DCD"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Drought and evaporative demand</w:t>
            </w:r>
          </w:p>
        </w:tc>
        <w:tc>
          <w:tcPr>
            <w:tcW w:w="2437" w:type="dxa"/>
          </w:tcPr>
          <w:p w14:paraId="39212A57"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Reduced water status, stomatal limitation of photosynthesis, reduced growth and yield; hydraulic failure under extreme stress</w:t>
            </w:r>
          </w:p>
        </w:tc>
        <w:tc>
          <w:tcPr>
            <w:tcW w:w="2250" w:type="dxa"/>
          </w:tcPr>
          <w:p w14:paraId="48620F6A"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High confidence in physiology; moderate confidence in field-level yield projections</w:t>
            </w:r>
          </w:p>
        </w:tc>
        <w:tc>
          <w:tcPr>
            <w:tcW w:w="2340" w:type="dxa"/>
          </w:tcPr>
          <w:p w14:paraId="74F63E1B"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Soil water storage; rooting depth; cultivar and rootstock behaviour; recovery after stress</w:t>
            </w:r>
          </w:p>
        </w:tc>
        <w:tc>
          <w:tcPr>
            <w:tcW w:w="2250" w:type="dxa"/>
          </w:tcPr>
          <w:p w14:paraId="25B98187"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Drought-adapted rootstocks; deficit irrigation; plant-based scheduling; soil-water conservation</w:t>
            </w:r>
          </w:p>
        </w:tc>
        <w:tc>
          <w:tcPr>
            <w:tcW w:w="2864" w:type="dxa"/>
          </w:tcPr>
          <w:p w14:paraId="58AAEB4A"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Charrier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(2018); Dayer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(2020); Fraga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(2020); G. A. Gambetta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(2020)</w:t>
            </w:r>
          </w:p>
        </w:tc>
      </w:tr>
      <w:tr w:rsidR="004F6249" w:rsidRPr="002F7029" w14:paraId="0692E58E" w14:textId="77777777" w:rsidTr="004F6249">
        <w:trPr>
          <w:trHeight w:val="20"/>
          <w:jc w:val="center"/>
        </w:trPr>
        <w:tc>
          <w:tcPr>
            <w:tcW w:w="1774" w:type="dxa"/>
          </w:tcPr>
          <w:p w14:paraId="2209EAF1"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Salinity from marginal water</w:t>
            </w:r>
          </w:p>
        </w:tc>
        <w:tc>
          <w:tcPr>
            <w:tcW w:w="2437" w:type="dxa"/>
          </w:tcPr>
          <w:p w14:paraId="7186F32B"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Osmotic stress and toxic accumulation of chloride, sodium and boron</w:t>
            </w:r>
          </w:p>
        </w:tc>
        <w:tc>
          <w:tcPr>
            <w:tcW w:w="2250" w:type="dxa"/>
          </w:tcPr>
          <w:p w14:paraId="612BADBB"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Moderate confidence; strong genotype dependence</w:t>
            </w:r>
          </w:p>
        </w:tc>
        <w:tc>
          <w:tcPr>
            <w:tcW w:w="2340" w:type="dxa"/>
          </w:tcPr>
          <w:p w14:paraId="63B4DB8A"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Long-term soil accumulation; interaction with heat and deficit irrigation</w:t>
            </w:r>
          </w:p>
        </w:tc>
        <w:tc>
          <w:tcPr>
            <w:tcW w:w="2250" w:type="dxa"/>
          </w:tcPr>
          <w:p w14:paraId="2C571999"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Ion-excluding rootstocks; leaching and water blending; monitoring</w:t>
            </w:r>
          </w:p>
        </w:tc>
        <w:tc>
          <w:tcPr>
            <w:tcW w:w="2864" w:type="dxa"/>
          </w:tcPr>
          <w:p w14:paraId="247DBB9B"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Acosta-Rangel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(2019); Erel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(2019); Navarro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(2022); Zhou-Tsang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(2021)</w:t>
            </w:r>
          </w:p>
        </w:tc>
      </w:tr>
      <w:tr w:rsidR="004F6249" w:rsidRPr="002F7029" w14:paraId="1D14A92D" w14:textId="77777777" w:rsidTr="004F6249">
        <w:trPr>
          <w:trHeight w:val="20"/>
          <w:jc w:val="center"/>
        </w:trPr>
        <w:tc>
          <w:tcPr>
            <w:tcW w:w="1774" w:type="dxa"/>
          </w:tcPr>
          <w:p w14:paraId="4C7D2D8F"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Compound events</w:t>
            </w:r>
          </w:p>
        </w:tc>
        <w:tc>
          <w:tcPr>
            <w:tcW w:w="2437" w:type="dxa"/>
          </w:tcPr>
          <w:p w14:paraId="7949B0E5"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Non-additive physiological responses to simultaneous heat, drought and frost-related hazards</w:t>
            </w:r>
          </w:p>
        </w:tc>
        <w:tc>
          <w:tcPr>
            <w:tcW w:w="2250" w:type="dxa"/>
          </w:tcPr>
          <w:p w14:paraId="1B143B41"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Limited; mainly controlled experiments and compound-event modelling</w:t>
            </w:r>
          </w:p>
        </w:tc>
        <w:tc>
          <w:tcPr>
            <w:tcW w:w="2340" w:type="dxa"/>
          </w:tcPr>
          <w:p w14:paraId="7231DC0A"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Scarcity of factorial field studies; carbon dioxide interactions</w:t>
            </w:r>
          </w:p>
        </w:tc>
        <w:tc>
          <w:tcPr>
            <w:tcW w:w="2250" w:type="dxa"/>
          </w:tcPr>
          <w:p w14:paraId="7DD36B02"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Combined rootstock, canopy and irrigation strategies</w:t>
            </w:r>
          </w:p>
        </w:tc>
        <w:tc>
          <w:tcPr>
            <w:tcW w:w="2864" w:type="dxa"/>
          </w:tcPr>
          <w:p w14:paraId="32BD23D6" w14:textId="77777777" w:rsidR="004F6249" w:rsidRPr="002F7029" w:rsidRDefault="004F6249" w:rsidP="00B821B1">
            <w:pPr>
              <w:ind w:left="-39" w:right="-9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García-Sánchez &amp; Syvertsen (2006); Pfleiderer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 xml:space="preserve">(2019); </w:t>
            </w:r>
            <w:proofErr w:type="spellStart"/>
            <w:r w:rsidRPr="002F7029">
              <w:rPr>
                <w:rFonts w:ascii="Times New Roman" w:eastAsia="Times New Roman" w:hAnsi="Times New Roman"/>
                <w:bCs/>
                <w:sz w:val="17"/>
                <w:szCs w:val="17"/>
                <w:lang w:val="en-IN"/>
              </w:rPr>
              <w:t>Zandalinas</w:t>
            </w:r>
            <w:proofErr w:type="spellEnd"/>
            <w:r w:rsidRPr="002F7029">
              <w:rPr>
                <w:rFonts w:ascii="Times New Roman" w:eastAsia="Times New Roman" w:hAnsi="Times New Roman"/>
                <w:bCs/>
                <w:sz w:val="17"/>
                <w:szCs w:val="17"/>
                <w:lang w:val="en-IN"/>
              </w:rPr>
              <w:t xml:space="preserve">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(2016)</w:t>
            </w:r>
          </w:p>
        </w:tc>
      </w:tr>
    </w:tbl>
    <w:p w14:paraId="3CAAF46C" w14:textId="10F83938" w:rsidR="004F6249" w:rsidRPr="004F6249" w:rsidRDefault="004F6249" w:rsidP="00B821B1">
      <w:pPr>
        <w:spacing w:after="0" w:line="240" w:lineRule="auto"/>
        <w:contextualSpacing/>
        <w:jc w:val="center"/>
        <w:rPr>
          <w:rFonts w:ascii="Times New Roman" w:eastAsia="Times New Roman" w:hAnsi="Times New Roman" w:cs="Times New Roman"/>
          <w:bCs/>
          <w:i/>
          <w:iCs/>
          <w:sz w:val="16"/>
          <w:szCs w:val="16"/>
          <w:lang w:val="en-IN"/>
        </w:rPr>
      </w:pPr>
      <w:r w:rsidRPr="004F6249">
        <w:rPr>
          <w:rFonts w:ascii="Times New Roman" w:eastAsia="Times New Roman" w:hAnsi="Times New Roman" w:cs="Times New Roman"/>
          <w:bCs/>
          <w:i/>
          <w:iCs/>
          <w:sz w:val="16"/>
          <w:szCs w:val="16"/>
          <w:lang w:val="en-IN"/>
        </w:rPr>
        <w:t>Note. Confidence levels follow the qualitative appraisal rubric described in Section 2.3. Levers listed are those discussed in Sections 4 to 7 and do not imply demonstrated effectiveness in every context</w:t>
      </w:r>
    </w:p>
    <w:p w14:paraId="056F9B3F" w14:textId="77777777" w:rsidR="004F6249" w:rsidRPr="002F7029" w:rsidRDefault="004F6249" w:rsidP="00B821B1">
      <w:pPr>
        <w:spacing w:after="0" w:line="240" w:lineRule="auto"/>
        <w:contextualSpacing/>
        <w:jc w:val="both"/>
        <w:rPr>
          <w:rFonts w:ascii="Times New Roman" w:eastAsia="Times New Roman" w:hAnsi="Times New Roman" w:cs="Times New Roman"/>
          <w:bCs/>
          <w:sz w:val="17"/>
          <w:szCs w:val="17"/>
          <w:lang w:val="en-IN"/>
        </w:rPr>
      </w:pPr>
    </w:p>
    <w:p w14:paraId="6DFEB157" w14:textId="77777777" w:rsidR="004F6249" w:rsidRPr="002F7029" w:rsidRDefault="004F6249" w:rsidP="00B821B1">
      <w:pPr>
        <w:spacing w:after="0" w:line="240" w:lineRule="auto"/>
        <w:contextualSpacing/>
        <w:jc w:val="both"/>
        <w:rPr>
          <w:rFonts w:ascii="Times New Roman" w:eastAsia="Times New Roman" w:hAnsi="Times New Roman" w:cs="Times New Roman"/>
          <w:bCs/>
          <w:sz w:val="17"/>
          <w:szCs w:val="17"/>
          <w:lang w:val="en-IN"/>
        </w:rPr>
      </w:pPr>
    </w:p>
    <w:p w14:paraId="43472FD9" w14:textId="77777777" w:rsidR="004F6249" w:rsidRDefault="004F6249" w:rsidP="00B821B1">
      <w:pPr>
        <w:spacing w:after="0" w:line="240" w:lineRule="auto"/>
        <w:contextualSpacing/>
        <w:jc w:val="both"/>
        <w:rPr>
          <w:rFonts w:ascii="Times New Roman" w:eastAsia="Times New Roman" w:hAnsi="Times New Roman" w:cs="Times New Roman"/>
          <w:bCs/>
          <w:sz w:val="17"/>
          <w:szCs w:val="17"/>
          <w:lang w:val="en-IN"/>
        </w:rPr>
        <w:sectPr w:rsidR="004F6249" w:rsidSect="004F6249">
          <w:pgSz w:w="16834" w:h="11909" w:orient="landscape" w:code="9"/>
          <w:pgMar w:top="1440" w:right="1440" w:bottom="1440" w:left="1440" w:header="720" w:footer="864" w:gutter="0"/>
          <w:cols w:space="720"/>
          <w:docGrid w:linePitch="360"/>
        </w:sectPr>
      </w:pPr>
    </w:p>
    <w:p w14:paraId="1BDDA86A"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lastRenderedPageBreak/>
        <w:t>3.4 Drought, Evaporative Demand and Salinity</w:t>
      </w:r>
    </w:p>
    <w:p w14:paraId="22405048" w14:textId="77777777" w:rsidR="001C1531" w:rsidRPr="0002278B" w:rsidRDefault="001C1531" w:rsidP="00B821B1">
      <w:pPr>
        <w:spacing w:after="0" w:line="240" w:lineRule="auto"/>
        <w:contextualSpacing/>
        <w:jc w:val="both"/>
        <w:rPr>
          <w:rFonts w:ascii="Times New Roman" w:eastAsia="Times New Roman" w:hAnsi="Times New Roman" w:cs="Times New Roman"/>
          <w:b/>
          <w:bCs/>
          <w:i/>
          <w:iCs/>
          <w:sz w:val="14"/>
          <w:szCs w:val="14"/>
          <w:lang w:val="en-IN"/>
        </w:rPr>
      </w:pPr>
    </w:p>
    <w:p w14:paraId="2192B54A"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Drought affects fruit trees through soil water depletion and through increasing atmospheric evaporative demand. Projections for olive orchards in Alentejo, Portugal, indicated warming of up to 2 °C by 2080, an increase in potential evapotranspiration of 40–50 mm and a decline in precipitation of 80–90 mm, conditions under which irrigation was assessed as an adaptation measure (Fraga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In grapevine, which has become a model perennial crop for drought research, tolerance has been redefined as an integrated set of traits encompassing water use, stomatal regulation, hydraulic vulnerability and recovery (G. A. Gambetta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Varietal differences arise from the sequence and water-potential thresholds of leaf turgor loss, stomatal closure and embolism (Dayer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Long-term observations in Napa and Bordeaux showed that grapevines did not reach lethal water-potential thresholds under seasonal droughts (Charrier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2018), which suggests that yield and quality losses, rather than hydraulic mortality, are the principal drought risk for established vineyards under current regimes. Whether this conclusion holds for other species, for young plantings or for more extreme droughts has not been demonstrated.</w:t>
      </w:r>
    </w:p>
    <w:p w14:paraId="3616CBE1" w14:textId="77777777" w:rsidR="001C1531" w:rsidRPr="0002278B" w:rsidRDefault="001C1531" w:rsidP="00B821B1">
      <w:pPr>
        <w:spacing w:after="0" w:line="240" w:lineRule="auto"/>
        <w:contextualSpacing/>
        <w:jc w:val="both"/>
        <w:rPr>
          <w:rFonts w:ascii="Times New Roman" w:eastAsia="Times New Roman" w:hAnsi="Times New Roman" w:cs="Times New Roman"/>
          <w:bCs/>
          <w:sz w:val="14"/>
          <w:szCs w:val="14"/>
          <w:lang w:val="en-IN"/>
        </w:rPr>
      </w:pPr>
    </w:p>
    <w:p w14:paraId="14419600"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Salinity is closely linked to drought because scarcity of fresh water increases reliance on saline groundwater, reclaimed wastewater and desalinated seawater. Grapevine salt tolerance depends largely on the exclusion of chloride from shoots and berries, and the effect of salinity on the grape and wine industries is expected to increase with climate change (Zhou-Tsang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2021). Avocado (</w:t>
      </w:r>
      <w:proofErr w:type="spellStart"/>
      <w:r w:rsidRPr="002F7029">
        <w:rPr>
          <w:rFonts w:ascii="Times New Roman" w:eastAsia="Times New Roman" w:hAnsi="Times New Roman" w:cs="Times New Roman"/>
          <w:bCs/>
          <w:i/>
          <w:iCs/>
          <w:sz w:val="17"/>
          <w:szCs w:val="17"/>
          <w:lang w:val="en-IN"/>
        </w:rPr>
        <w:t>Persea</w:t>
      </w:r>
      <w:proofErr w:type="spellEnd"/>
      <w:r w:rsidRPr="002F7029">
        <w:rPr>
          <w:rFonts w:ascii="Times New Roman" w:eastAsia="Times New Roman" w:hAnsi="Times New Roman" w:cs="Times New Roman"/>
          <w:bCs/>
          <w:i/>
          <w:iCs/>
          <w:sz w:val="17"/>
          <w:szCs w:val="17"/>
          <w:lang w:val="en-IN"/>
        </w:rPr>
        <w:t xml:space="preserve"> americana</w:t>
      </w:r>
      <w:r w:rsidRPr="002F7029">
        <w:rPr>
          <w:rFonts w:ascii="Times New Roman" w:eastAsia="Times New Roman" w:hAnsi="Times New Roman" w:cs="Times New Roman"/>
          <w:bCs/>
          <w:sz w:val="17"/>
          <w:szCs w:val="17"/>
          <w:lang w:val="en-IN"/>
        </w:rPr>
        <w:t xml:space="preserve"> Mill.) is considered extremely salt-sensitive, and its tolerance under saline irrigation depends on the rootstock (Acosta-Rangel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2019). Reclaimed wastewater supplies valuable nutrients but also salts that can impair yields and soil quality (Erel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2019), and desalinated seawater carries phytotoxic sodium, chloride and boron for sensitive crops such as citrus (Navarro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2022). In this way, salinity links the water-smart lever directly to the rootstock lever.</w:t>
      </w:r>
    </w:p>
    <w:p w14:paraId="67DC4C4C" w14:textId="77777777" w:rsidR="001C1531" w:rsidRPr="0002278B" w:rsidRDefault="001C1531" w:rsidP="00B821B1">
      <w:pPr>
        <w:spacing w:after="0" w:line="240" w:lineRule="auto"/>
        <w:contextualSpacing/>
        <w:jc w:val="both"/>
        <w:rPr>
          <w:rFonts w:ascii="Times New Roman" w:eastAsia="Times New Roman" w:hAnsi="Times New Roman" w:cs="Times New Roman"/>
          <w:bCs/>
          <w:sz w:val="14"/>
          <w:szCs w:val="14"/>
          <w:lang w:val="en-IN"/>
        </w:rPr>
      </w:pPr>
    </w:p>
    <w:p w14:paraId="332447BB"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3.5 Compound Hazards and the Limits of Single-Hazard Assessment</w:t>
      </w:r>
    </w:p>
    <w:p w14:paraId="49D0799C" w14:textId="77777777" w:rsidR="001C1531" w:rsidRPr="0002278B" w:rsidRDefault="001C1531" w:rsidP="00B821B1">
      <w:pPr>
        <w:spacing w:after="0" w:line="240" w:lineRule="auto"/>
        <w:contextualSpacing/>
        <w:jc w:val="both"/>
        <w:rPr>
          <w:rFonts w:ascii="Times New Roman" w:eastAsia="Times New Roman" w:hAnsi="Times New Roman" w:cs="Times New Roman"/>
          <w:b/>
          <w:bCs/>
          <w:i/>
          <w:iCs/>
          <w:sz w:val="14"/>
          <w:szCs w:val="14"/>
          <w:lang w:val="en-IN"/>
        </w:rPr>
      </w:pPr>
    </w:p>
    <w:p w14:paraId="11E0A096"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Hazards seldom occur in isolation. In citrus, heat applied alone increased stomatal conductance and transpiration, whereas the combination of heat and water deprivation partially reversed this response and generated a distinct hormonal and physiological profile, with the Carrizo citrange (</w:t>
      </w:r>
      <w:r w:rsidRPr="002F7029">
        <w:rPr>
          <w:rFonts w:ascii="Times New Roman" w:eastAsia="Times New Roman" w:hAnsi="Times New Roman" w:cs="Times New Roman"/>
          <w:bCs/>
          <w:i/>
          <w:iCs/>
          <w:sz w:val="17"/>
          <w:szCs w:val="17"/>
          <w:lang w:val="en-IN"/>
        </w:rPr>
        <w:t>Citrus sinensis</w:t>
      </w:r>
      <w:r w:rsidRPr="002F7029">
        <w:rPr>
          <w:rFonts w:ascii="Times New Roman" w:eastAsia="Times New Roman" w:hAnsi="Times New Roman" w:cs="Times New Roman"/>
          <w:bCs/>
          <w:sz w:val="17"/>
          <w:szCs w:val="17"/>
          <w:lang w:val="en-IN"/>
        </w:rPr>
        <w:t xml:space="preserve"> (L.) Osbeck × </w:t>
      </w:r>
      <w:proofErr w:type="spellStart"/>
      <w:r w:rsidRPr="002F7029">
        <w:rPr>
          <w:rFonts w:ascii="Times New Roman" w:eastAsia="Times New Roman" w:hAnsi="Times New Roman" w:cs="Times New Roman"/>
          <w:bCs/>
          <w:i/>
          <w:iCs/>
          <w:sz w:val="17"/>
          <w:szCs w:val="17"/>
          <w:lang w:val="en-IN"/>
        </w:rPr>
        <w:t>Poncirus</w:t>
      </w:r>
      <w:proofErr w:type="spellEnd"/>
      <w:r w:rsidRPr="002F7029">
        <w:rPr>
          <w:rFonts w:ascii="Times New Roman" w:eastAsia="Times New Roman" w:hAnsi="Times New Roman" w:cs="Times New Roman"/>
          <w:bCs/>
          <w:i/>
          <w:iCs/>
          <w:sz w:val="17"/>
          <w:szCs w:val="17"/>
          <w:lang w:val="en-IN"/>
        </w:rPr>
        <w:t xml:space="preserve"> trifoliata</w:t>
      </w:r>
      <w:r w:rsidRPr="002F7029">
        <w:rPr>
          <w:rFonts w:ascii="Times New Roman" w:eastAsia="Times New Roman" w:hAnsi="Times New Roman" w:cs="Times New Roman"/>
          <w:bCs/>
          <w:sz w:val="17"/>
          <w:szCs w:val="17"/>
          <w:lang w:val="en-IN"/>
        </w:rPr>
        <w:t xml:space="preserve"> (L.) Raf.) genotype more tolerant than Cleopatra mandarin (</w:t>
      </w:r>
      <w:r w:rsidRPr="002F7029">
        <w:rPr>
          <w:rFonts w:ascii="Times New Roman" w:eastAsia="Times New Roman" w:hAnsi="Times New Roman" w:cs="Times New Roman"/>
          <w:bCs/>
          <w:i/>
          <w:iCs/>
          <w:sz w:val="17"/>
          <w:szCs w:val="17"/>
          <w:lang w:val="en-IN"/>
        </w:rPr>
        <w:t xml:space="preserve">Citrus </w:t>
      </w:r>
      <w:proofErr w:type="spellStart"/>
      <w:r w:rsidRPr="002F7029">
        <w:rPr>
          <w:rFonts w:ascii="Times New Roman" w:eastAsia="Times New Roman" w:hAnsi="Times New Roman" w:cs="Times New Roman"/>
          <w:bCs/>
          <w:i/>
          <w:iCs/>
          <w:sz w:val="17"/>
          <w:szCs w:val="17"/>
          <w:lang w:val="en-IN"/>
        </w:rPr>
        <w:t>reshni</w:t>
      </w:r>
      <w:proofErr w:type="spellEnd"/>
      <w:r w:rsidRPr="002F7029">
        <w:rPr>
          <w:rFonts w:ascii="Times New Roman" w:eastAsia="Times New Roman" w:hAnsi="Times New Roman" w:cs="Times New Roman"/>
          <w:bCs/>
          <w:sz w:val="17"/>
          <w:szCs w:val="17"/>
          <w:lang w:val="en-IN"/>
        </w:rPr>
        <w:t xml:space="preserve"> Hort. </w:t>
      </w:r>
      <w:proofErr w:type="spellStart"/>
      <w:r w:rsidRPr="002F7029">
        <w:rPr>
          <w:rFonts w:ascii="Times New Roman" w:eastAsia="Times New Roman" w:hAnsi="Times New Roman" w:cs="Times New Roman"/>
          <w:bCs/>
          <w:sz w:val="17"/>
          <w:szCs w:val="17"/>
          <w:lang w:val="en-IN"/>
        </w:rPr>
        <w:t>ex Tanaka</w:t>
      </w:r>
      <w:proofErr w:type="spellEnd"/>
      <w:r w:rsidRPr="002F7029">
        <w:rPr>
          <w:rFonts w:ascii="Times New Roman" w:eastAsia="Times New Roman" w:hAnsi="Times New Roman" w:cs="Times New Roman"/>
          <w:bCs/>
          <w:sz w:val="17"/>
          <w:szCs w:val="17"/>
          <w:lang w:val="en-IN"/>
        </w:rPr>
        <w:t>) (</w:t>
      </w:r>
      <w:proofErr w:type="spellStart"/>
      <w:r w:rsidRPr="002F7029">
        <w:rPr>
          <w:rFonts w:ascii="Times New Roman" w:eastAsia="Times New Roman" w:hAnsi="Times New Roman" w:cs="Times New Roman"/>
          <w:bCs/>
          <w:sz w:val="17"/>
          <w:szCs w:val="17"/>
          <w:lang w:val="en-IN"/>
        </w:rPr>
        <w:t>Zandalinas</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2016). In apple, frost risk depends jointly on winter warmth, spring phenology and late cold spells (Pfleiderer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2019). Rising atmospheric carbon dioxide adds a further interacting factor: in citrus rootstock seedlings, elevated carbon dioxide increased growth and water-use efficiency, reduced transpiration and modified responses to sodium chloride (García-Sánchez &amp; Syvertsen, 2006), although this short pot experiment cannot be extrapolated to mature orchards. Most impact studies continue to model one hazard at a time, and the systematic review of temperate fruit and nut crops classified the literature into distinct research areas, including responses to environmental conditions, water management, breeding and genetics, and prediction models, which illustrates how compartmentalised the field remains (Osorio-Marín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2024). The consequence for adaptation is that a lever selected to mitigate one hazard must be evaluated against the others it may influence.</w:t>
      </w:r>
    </w:p>
    <w:p w14:paraId="55298AC2" w14:textId="77777777" w:rsidR="001C1531" w:rsidRPr="0002278B" w:rsidRDefault="001C1531" w:rsidP="00B821B1">
      <w:pPr>
        <w:spacing w:after="0" w:line="240" w:lineRule="auto"/>
        <w:contextualSpacing/>
        <w:jc w:val="both"/>
        <w:rPr>
          <w:rFonts w:ascii="Times New Roman" w:eastAsia="Times New Roman" w:hAnsi="Times New Roman" w:cs="Times New Roman"/>
          <w:bCs/>
          <w:sz w:val="14"/>
          <w:szCs w:val="14"/>
          <w:lang w:val="en-IN"/>
        </w:rPr>
      </w:pPr>
    </w:p>
    <w:p w14:paraId="717D5130"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principal hazards, their mechanisms, the state of evidence and the levers that address them are summarised in Table 2. The table shows that evidence is most mature for winter chill decline and for the physiology of heat and drought, whereas frost risk, salinity from marginal water and compound events remain context-dependent. It also shows that every hazard is addressed by more than one lever, which provides the rationale for the integrated appraisal in the following sections.</w:t>
      </w:r>
    </w:p>
    <w:p w14:paraId="01BD04DC" w14:textId="35BD17E8" w:rsidR="001C1531" w:rsidRPr="0002278B" w:rsidRDefault="001C1531" w:rsidP="00B821B1">
      <w:pPr>
        <w:spacing w:after="0" w:line="240" w:lineRule="auto"/>
        <w:contextualSpacing/>
        <w:jc w:val="both"/>
        <w:rPr>
          <w:rFonts w:ascii="Times New Roman" w:eastAsia="Times New Roman" w:hAnsi="Times New Roman" w:cs="Times New Roman"/>
          <w:bCs/>
          <w:sz w:val="14"/>
          <w:szCs w:val="14"/>
          <w:lang w:val="en-IN"/>
        </w:rPr>
      </w:pPr>
    </w:p>
    <w:p w14:paraId="7DA2A5F6" w14:textId="77777777" w:rsidR="001C1531" w:rsidRPr="002F7029" w:rsidRDefault="001C1531" w:rsidP="00B821B1">
      <w:pPr>
        <w:pStyle w:val="Heading3"/>
        <w:keepNext w:val="0"/>
        <w:keepLines w:val="0"/>
        <w:rPr>
          <w:rFonts w:eastAsia="Times New Roman"/>
          <w:lang w:val="en-IN"/>
        </w:rPr>
      </w:pPr>
      <w:r w:rsidRPr="002F7029">
        <w:rPr>
          <w:rFonts w:eastAsia="Times New Roman"/>
          <w:lang w:val="en-IN"/>
        </w:rPr>
        <w:t>4. Genetic Adaptation: Phenology, Stress Tolerance and Breeding Technologies</w:t>
      </w:r>
    </w:p>
    <w:p w14:paraId="1C863C46" w14:textId="77777777" w:rsidR="001C1531" w:rsidRPr="0002278B" w:rsidRDefault="001C1531" w:rsidP="00B821B1">
      <w:pPr>
        <w:spacing w:after="0" w:line="240" w:lineRule="auto"/>
        <w:contextualSpacing/>
        <w:jc w:val="both"/>
        <w:rPr>
          <w:rFonts w:ascii="Times New Roman" w:eastAsia="Times New Roman" w:hAnsi="Times New Roman" w:cs="Times New Roman"/>
          <w:b/>
          <w:bCs/>
          <w:sz w:val="14"/>
          <w:szCs w:val="14"/>
          <w:lang w:val="en-IN"/>
        </w:rPr>
      </w:pPr>
    </w:p>
    <w:p w14:paraId="63C5DA1B"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Genetic adaptation offers the most durable route to resilience, because a cultivar matched to the future climate of a site carries its adaptive traits into every tree planted. It is also the slowest lever. Fruit tree breeding is constrained by long generation times, large plant size, extended juvenile phases and the need to wait for fruiting before the marketable product can be evaluated (Iwata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2016). This section appraises the genetic basis of climate-relevant traits, the technologies proposed to accelerate their deployment and the extent to which varietal diversity already available to growers can serve as an adaptation resource.</w:t>
      </w:r>
    </w:p>
    <w:p w14:paraId="02817294" w14:textId="77777777" w:rsidR="001C1531" w:rsidRPr="0002278B" w:rsidRDefault="001C1531" w:rsidP="00B821B1">
      <w:pPr>
        <w:spacing w:after="0" w:line="240" w:lineRule="auto"/>
        <w:contextualSpacing/>
        <w:jc w:val="both"/>
        <w:rPr>
          <w:rFonts w:ascii="Times New Roman" w:eastAsia="Times New Roman" w:hAnsi="Times New Roman" w:cs="Times New Roman"/>
          <w:bCs/>
          <w:sz w:val="14"/>
          <w:szCs w:val="14"/>
          <w:lang w:val="en-IN"/>
        </w:rPr>
      </w:pPr>
    </w:p>
    <w:p w14:paraId="384D34DF"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4.1 Genetic Architecture of Chilling Requirement, Heat Requirement and Bloom Date</w:t>
      </w:r>
    </w:p>
    <w:p w14:paraId="4917422C" w14:textId="77777777" w:rsidR="001C1531" w:rsidRPr="0002278B" w:rsidRDefault="001C1531" w:rsidP="00B821B1">
      <w:pPr>
        <w:spacing w:after="0" w:line="240" w:lineRule="auto"/>
        <w:contextualSpacing/>
        <w:jc w:val="both"/>
        <w:rPr>
          <w:rFonts w:ascii="Times New Roman" w:eastAsia="Times New Roman" w:hAnsi="Times New Roman" w:cs="Times New Roman"/>
          <w:b/>
          <w:bCs/>
          <w:i/>
          <w:iCs/>
          <w:sz w:val="14"/>
          <w:szCs w:val="14"/>
          <w:lang w:val="en-IN"/>
        </w:rPr>
      </w:pPr>
    </w:p>
    <w:p w14:paraId="04F21A8B"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Knowledge of the genetic control of dormancy is most advanced in peach (</w:t>
      </w:r>
      <w:r w:rsidRPr="002F7029">
        <w:rPr>
          <w:rFonts w:ascii="Times New Roman" w:eastAsia="Times New Roman" w:hAnsi="Times New Roman" w:cs="Times New Roman"/>
          <w:bCs/>
          <w:i/>
          <w:iCs/>
          <w:sz w:val="17"/>
          <w:szCs w:val="17"/>
          <w:lang w:val="en-IN"/>
        </w:rPr>
        <w:t>Prunus persica</w:t>
      </w:r>
      <w:r w:rsidRPr="002F7029">
        <w:rPr>
          <w:rFonts w:ascii="Times New Roman" w:eastAsia="Times New Roman" w:hAnsi="Times New Roman" w:cs="Times New Roman"/>
          <w:bCs/>
          <w:sz w:val="17"/>
          <w:szCs w:val="17"/>
          <w:lang w:val="en-IN"/>
        </w:rPr>
        <w:t xml:space="preserve"> (L.) Batsch). Sequencing of the </w:t>
      </w:r>
      <w:proofErr w:type="spellStart"/>
      <w:r w:rsidRPr="002F7029">
        <w:rPr>
          <w:rFonts w:ascii="Times New Roman" w:eastAsia="Times New Roman" w:hAnsi="Times New Roman" w:cs="Times New Roman"/>
          <w:bCs/>
          <w:sz w:val="17"/>
          <w:szCs w:val="17"/>
          <w:lang w:val="en-IN"/>
        </w:rPr>
        <w:t>evergrowing</w:t>
      </w:r>
      <w:proofErr w:type="spellEnd"/>
      <w:r w:rsidRPr="002F7029">
        <w:rPr>
          <w:rFonts w:ascii="Times New Roman" w:eastAsia="Times New Roman" w:hAnsi="Times New Roman" w:cs="Times New Roman"/>
          <w:bCs/>
          <w:sz w:val="17"/>
          <w:szCs w:val="17"/>
          <w:lang w:val="en-IN"/>
        </w:rPr>
        <w:t xml:space="preserve"> locus, whose mutant fails to form terminal buds in response to dormancy-inducing conditions, revealed a cluster of six MADS-box transcription factor genes, later termed DAM genes, as candidates for the control of terminal bud formation (Bielenberg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2008). Expression of </w:t>
      </w:r>
      <w:r w:rsidRPr="002F7029">
        <w:rPr>
          <w:rFonts w:ascii="Times New Roman" w:eastAsia="Times New Roman" w:hAnsi="Times New Roman" w:cs="Times New Roman"/>
          <w:bCs/>
          <w:i/>
          <w:iCs/>
          <w:sz w:val="17"/>
          <w:szCs w:val="17"/>
          <w:lang w:val="en-IN"/>
        </w:rPr>
        <w:t>PpDAM5</w:t>
      </w:r>
      <w:r w:rsidRPr="002F7029">
        <w:rPr>
          <w:rFonts w:ascii="Times New Roman" w:eastAsia="Times New Roman" w:hAnsi="Times New Roman" w:cs="Times New Roman"/>
          <w:bCs/>
          <w:sz w:val="17"/>
          <w:szCs w:val="17"/>
          <w:lang w:val="en-IN"/>
        </w:rPr>
        <w:t xml:space="preserve"> and </w:t>
      </w:r>
      <w:r w:rsidRPr="002F7029">
        <w:rPr>
          <w:rFonts w:ascii="Times New Roman" w:eastAsia="Times New Roman" w:hAnsi="Times New Roman" w:cs="Times New Roman"/>
          <w:bCs/>
          <w:i/>
          <w:iCs/>
          <w:sz w:val="17"/>
          <w:szCs w:val="17"/>
          <w:lang w:val="en-IN"/>
        </w:rPr>
        <w:t>PpDAM6</w:t>
      </w:r>
      <w:r w:rsidRPr="002F7029">
        <w:rPr>
          <w:rFonts w:ascii="Times New Roman" w:eastAsia="Times New Roman" w:hAnsi="Times New Roman" w:cs="Times New Roman"/>
          <w:bCs/>
          <w:sz w:val="17"/>
          <w:szCs w:val="17"/>
          <w:lang w:val="en-IN"/>
        </w:rPr>
        <w:t xml:space="preserve"> increases during endodormancy and declines with its release in both high-chill and low-chill peaches (Yamane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2011), and chilling down-regulates several members of the cluster through distinct epigenetic mechanisms, including trimethylation of histone H3 lysine 27 (Zhu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A genome-wide association study (GWAS) based on structural variation in 345 peach accessions identified </w:t>
      </w:r>
      <w:r w:rsidRPr="002F7029">
        <w:rPr>
          <w:rFonts w:ascii="Times New Roman" w:eastAsia="Times New Roman" w:hAnsi="Times New Roman" w:cs="Times New Roman"/>
          <w:bCs/>
          <w:i/>
          <w:iCs/>
          <w:sz w:val="17"/>
          <w:szCs w:val="17"/>
          <w:lang w:val="en-IN"/>
        </w:rPr>
        <w:t>PpDAM6</w:t>
      </w:r>
      <w:r w:rsidRPr="002F7029">
        <w:rPr>
          <w:rFonts w:ascii="Times New Roman" w:eastAsia="Times New Roman" w:hAnsi="Times New Roman" w:cs="Times New Roman"/>
          <w:bCs/>
          <w:sz w:val="17"/>
          <w:szCs w:val="17"/>
          <w:lang w:val="en-IN"/>
        </w:rPr>
        <w:t xml:space="preserve"> as a key gene for chilling requirement, and its function was supported by transient silencing in peach buds and overexpression in transgenic apple (Zhao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2023). Quantitative trait locus (QTL) mapping in a peach F2 population of 378 genotypes established the genetic interrelationships among chilling requirement, heat requirement and bloom date (Fan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2010).</w:t>
      </w:r>
    </w:p>
    <w:p w14:paraId="017FE1C8" w14:textId="77777777" w:rsidR="001C1531" w:rsidRPr="0002278B" w:rsidRDefault="001C1531" w:rsidP="00B821B1">
      <w:pPr>
        <w:spacing w:after="0" w:line="240" w:lineRule="auto"/>
        <w:contextualSpacing/>
        <w:jc w:val="both"/>
        <w:rPr>
          <w:rFonts w:ascii="Times New Roman" w:eastAsia="Times New Roman" w:hAnsi="Times New Roman" w:cs="Times New Roman"/>
          <w:bCs/>
          <w:sz w:val="14"/>
          <w:szCs w:val="14"/>
          <w:lang w:val="en-IN"/>
        </w:rPr>
      </w:pPr>
    </w:p>
    <w:p w14:paraId="56F0FD91"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In apple (</w:t>
      </w:r>
      <w:r w:rsidRPr="002F7029">
        <w:rPr>
          <w:rFonts w:ascii="Times New Roman" w:eastAsia="Times New Roman" w:hAnsi="Times New Roman" w:cs="Times New Roman"/>
          <w:bCs/>
          <w:i/>
          <w:iCs/>
          <w:sz w:val="17"/>
          <w:szCs w:val="17"/>
          <w:lang w:val="en-IN"/>
        </w:rPr>
        <w:t>Malus</w:t>
      </w:r>
      <w:r w:rsidRPr="002F7029">
        <w:rPr>
          <w:rFonts w:ascii="Times New Roman" w:eastAsia="Times New Roman" w:hAnsi="Times New Roman" w:cs="Times New Roman"/>
          <w:bCs/>
          <w:sz w:val="17"/>
          <w:szCs w:val="17"/>
          <w:lang w:val="en-IN"/>
        </w:rPr>
        <w:t xml:space="preserve"> × </w:t>
      </w:r>
      <w:r w:rsidRPr="002F7029">
        <w:rPr>
          <w:rFonts w:ascii="Times New Roman" w:eastAsia="Times New Roman" w:hAnsi="Times New Roman" w:cs="Times New Roman"/>
          <w:bCs/>
          <w:i/>
          <w:iCs/>
          <w:sz w:val="17"/>
          <w:szCs w:val="17"/>
          <w:lang w:val="en-IN"/>
        </w:rPr>
        <w:t>domestica</w:t>
      </w:r>
      <w:r w:rsidRPr="002F7029">
        <w:rPr>
          <w:rFonts w:ascii="Times New Roman" w:eastAsia="Times New Roman" w:hAnsi="Times New Roman" w:cs="Times New Roman"/>
          <w:bCs/>
          <w:sz w:val="17"/>
          <w:szCs w:val="17"/>
          <w:lang w:val="en-IN"/>
        </w:rPr>
        <w:t xml:space="preserve"> Borkh.), QTL analysis across five related full-sib families, three years and two sites identified four major regions controlling budbreak and flowering time, which together explained 5.6% to 21.3% of trait variance, with the region on linkage group 9 the most stable across families, sites and years (Allard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2016). An earlier study found that both the chilling and the heat requirement periods influenced flowering dates, but that their relative importance depended on the genetic background, and the major QTLs detected were population-specific (Celton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2011). A European GWAS of 1168 apple genotypes grown at six locations retained two markers on chromosome 9 that together accounted for 8.9% of the phenotypic variance in flowering </w:t>
      </w:r>
      <w:r w:rsidRPr="002F7029">
        <w:rPr>
          <w:rFonts w:ascii="Times New Roman" w:eastAsia="Times New Roman" w:hAnsi="Times New Roman" w:cs="Times New Roman"/>
          <w:bCs/>
          <w:sz w:val="17"/>
          <w:szCs w:val="17"/>
          <w:lang w:val="en-IN"/>
        </w:rPr>
        <w:lastRenderedPageBreak/>
        <w:t>period, and found that allele frequencies varied with the geographical origin of cultivars, consistent with differential selection in contrasting growing environments (</w:t>
      </w:r>
      <w:proofErr w:type="spellStart"/>
      <w:r w:rsidRPr="002F7029">
        <w:rPr>
          <w:rFonts w:ascii="Times New Roman" w:eastAsia="Times New Roman" w:hAnsi="Times New Roman" w:cs="Times New Roman"/>
          <w:bCs/>
          <w:sz w:val="17"/>
          <w:szCs w:val="17"/>
          <w:lang w:val="en-IN"/>
        </w:rPr>
        <w:t>Urrestarazu</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2017).</w:t>
      </w:r>
    </w:p>
    <w:p w14:paraId="740E9B30" w14:textId="77777777" w:rsidR="001C1531" w:rsidRPr="0002278B" w:rsidRDefault="001C1531" w:rsidP="00B821B1">
      <w:pPr>
        <w:spacing w:after="0" w:line="240" w:lineRule="auto"/>
        <w:contextualSpacing/>
        <w:jc w:val="both"/>
        <w:rPr>
          <w:rFonts w:ascii="Times New Roman" w:eastAsia="Times New Roman" w:hAnsi="Times New Roman" w:cs="Times New Roman"/>
          <w:bCs/>
          <w:sz w:val="12"/>
          <w:szCs w:val="12"/>
          <w:lang w:val="en-IN"/>
        </w:rPr>
      </w:pPr>
    </w:p>
    <w:p w14:paraId="763C90EB"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These studies establish that chilling and heat requirements are heritable and partly controlled by conserved loci, but they also reveal why translation into breeding has been slow. Individual loci explain modest fractions of variance, effects are population-specific and environment-dependent, and phenotyping of chilling requirement is laborious and method-sensitive (Celton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2011; </w:t>
      </w:r>
      <w:proofErr w:type="spellStart"/>
      <w:r w:rsidRPr="002F7029">
        <w:rPr>
          <w:rFonts w:ascii="Times New Roman" w:eastAsia="Times New Roman" w:hAnsi="Times New Roman" w:cs="Times New Roman"/>
          <w:bCs/>
          <w:sz w:val="17"/>
          <w:szCs w:val="17"/>
          <w:lang w:val="en-IN"/>
        </w:rPr>
        <w:t>Fadón</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Marker-assisted seedling selection in Rosaceae tree fruit has been limited by the scarcity of DNA tests tailored to individual breeding programmes (Ru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2015). The development of a low-cost diagnostic test for peach chilling requirement, which predicted the correct genotype and phenotype in 96% and 74% of validated cultivars and accessions, respectively, illustrates that such barriers can be overcome for traits with a major locus (Demirel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2023). The test discriminates broad classes of requirement rather than precise values, which is appropriate for parent and seedling selection but not for predicting cultivar behaviour at a specific site.</w:t>
      </w:r>
    </w:p>
    <w:p w14:paraId="6E2530DA" w14:textId="77777777" w:rsidR="001C1531" w:rsidRPr="0002278B" w:rsidRDefault="001C1531" w:rsidP="00B821B1">
      <w:pPr>
        <w:spacing w:after="0" w:line="240" w:lineRule="auto"/>
        <w:contextualSpacing/>
        <w:jc w:val="both"/>
        <w:rPr>
          <w:rFonts w:ascii="Times New Roman" w:eastAsia="Times New Roman" w:hAnsi="Times New Roman" w:cs="Times New Roman"/>
          <w:bCs/>
          <w:sz w:val="12"/>
          <w:szCs w:val="12"/>
          <w:lang w:val="en-IN"/>
        </w:rPr>
      </w:pPr>
    </w:p>
    <w:p w14:paraId="0C908122"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Low-chill breeding demonstrates both the potential and the cost of genetic adaptation. Adapting peach and highbush blueberry to subtropical Florida required recurrent selection over many cycles because a large number of characteristics, most of them polygenic, had to be changed simultaneously (</w:t>
      </w:r>
      <w:proofErr w:type="spellStart"/>
      <w:r w:rsidRPr="002F7029">
        <w:rPr>
          <w:rFonts w:ascii="Times New Roman" w:eastAsia="Times New Roman" w:hAnsi="Times New Roman" w:cs="Times New Roman"/>
          <w:bCs/>
          <w:sz w:val="17"/>
          <w:szCs w:val="17"/>
          <w:lang w:val="en-IN"/>
        </w:rPr>
        <w:t>Lyrene</w:t>
      </w:r>
      <w:proofErr w:type="spellEnd"/>
      <w:r w:rsidRPr="002F7029">
        <w:rPr>
          <w:rFonts w:ascii="Times New Roman" w:eastAsia="Times New Roman" w:hAnsi="Times New Roman" w:cs="Times New Roman"/>
          <w:bCs/>
          <w:sz w:val="17"/>
          <w:szCs w:val="17"/>
          <w:lang w:val="en-IN"/>
        </w:rPr>
        <w:t xml:space="preserve">, 2005). Reducing chilling requirement also carries an inherent risk. Genotypes that complete dormancy early can respond to warm spells in late winter, and experts in Mediterranean fruit regions anticipate increasing spring frost damage in early-blooming cultivars (E. Fernandez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2023). Because freezing tolerance declines as buds develop (</w:t>
      </w:r>
      <w:proofErr w:type="spellStart"/>
      <w:r w:rsidRPr="002F7029">
        <w:rPr>
          <w:rFonts w:ascii="Times New Roman" w:eastAsia="Times New Roman" w:hAnsi="Times New Roman" w:cs="Times New Roman"/>
          <w:bCs/>
          <w:sz w:val="17"/>
          <w:szCs w:val="17"/>
          <w:lang w:val="en-IN"/>
        </w:rPr>
        <w:t>Vitasse</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2014), the breeding objective in many regions is not simply a lower chilling requirement but a combination of moderate chilling requirement with a higher heat requirement, which delays bloom after dormancy release. The co-localisation of QTLs for chilling and heat requirements in apple suggests that such combinations may be partly constrained by shared genetic control (Allard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2016), a hypothesis that has not been tested systematically in breeding populations.</w:t>
      </w:r>
    </w:p>
    <w:p w14:paraId="0626CE33" w14:textId="77777777" w:rsidR="001C1531" w:rsidRPr="0002278B" w:rsidRDefault="001C1531" w:rsidP="00B821B1">
      <w:pPr>
        <w:spacing w:after="0" w:line="240" w:lineRule="auto"/>
        <w:contextualSpacing/>
        <w:jc w:val="both"/>
        <w:rPr>
          <w:rFonts w:ascii="Times New Roman" w:eastAsia="Times New Roman" w:hAnsi="Times New Roman" w:cs="Times New Roman"/>
          <w:bCs/>
          <w:sz w:val="12"/>
          <w:szCs w:val="12"/>
          <w:lang w:val="en-IN"/>
        </w:rPr>
      </w:pPr>
    </w:p>
    <w:p w14:paraId="1EB6AF46"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4.2 Genetic Variation for Heat, Drought and Quality Stability</w:t>
      </w:r>
    </w:p>
    <w:p w14:paraId="0B688948" w14:textId="77777777" w:rsidR="001C1531" w:rsidRPr="0002278B" w:rsidRDefault="001C1531" w:rsidP="00B821B1">
      <w:pPr>
        <w:spacing w:after="0" w:line="240" w:lineRule="auto"/>
        <w:contextualSpacing/>
        <w:jc w:val="both"/>
        <w:rPr>
          <w:rFonts w:ascii="Times New Roman" w:eastAsia="Times New Roman" w:hAnsi="Times New Roman" w:cs="Times New Roman"/>
          <w:b/>
          <w:bCs/>
          <w:i/>
          <w:iCs/>
          <w:sz w:val="12"/>
          <w:szCs w:val="12"/>
          <w:lang w:val="en-IN"/>
        </w:rPr>
      </w:pPr>
    </w:p>
    <w:p w14:paraId="616ED390"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Genetic variation for drought response is best characterised in grapevine (</w:t>
      </w:r>
      <w:r w:rsidRPr="002F7029">
        <w:rPr>
          <w:rFonts w:ascii="Times New Roman" w:eastAsia="Times New Roman" w:hAnsi="Times New Roman" w:cs="Times New Roman"/>
          <w:bCs/>
          <w:i/>
          <w:iCs/>
          <w:sz w:val="17"/>
          <w:szCs w:val="17"/>
          <w:lang w:val="en-IN"/>
        </w:rPr>
        <w:t>Vitis vinifera</w:t>
      </w:r>
      <w:r w:rsidRPr="002F7029">
        <w:rPr>
          <w:rFonts w:ascii="Times New Roman" w:eastAsia="Times New Roman" w:hAnsi="Times New Roman" w:cs="Times New Roman"/>
          <w:bCs/>
          <w:sz w:val="17"/>
          <w:szCs w:val="17"/>
          <w:lang w:val="en-IN"/>
        </w:rPr>
        <w:t xml:space="preserve"> L.). Cultivars differ in maximum transpiration, in the sensitivity of canopy conductance to vapour pressure deficit and in the sequence of water-potential thresholds for turgor loss, stomatal closure and leaf embolism (Dayer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Such traits form the basis of an integrative definition of drought tolerance that distinguishes water-use strategies from survival thresholds (G. A. Gambetta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Comparable trait-based screens are rare for apple, stone fruit and citrus scions, and evidence on heat tolerance remains largely mechanistic, centred on heat-shock proteins, antioxidant systems and hormonal regulation, with few breeding applications (Li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2023).</w:t>
      </w:r>
    </w:p>
    <w:p w14:paraId="1BF28E27" w14:textId="77777777" w:rsidR="001C1531" w:rsidRPr="0002278B" w:rsidRDefault="001C1531" w:rsidP="00B821B1">
      <w:pPr>
        <w:spacing w:after="0" w:line="240" w:lineRule="auto"/>
        <w:contextualSpacing/>
        <w:jc w:val="both"/>
        <w:rPr>
          <w:rFonts w:ascii="Times New Roman" w:eastAsia="Times New Roman" w:hAnsi="Times New Roman" w:cs="Times New Roman"/>
          <w:bCs/>
          <w:sz w:val="12"/>
          <w:szCs w:val="12"/>
          <w:lang w:val="en-IN"/>
        </w:rPr>
      </w:pPr>
    </w:p>
    <w:p w14:paraId="73B731EC"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Wild relatives represent an underused reservoir. The reference genome of domesticated apple identified </w:t>
      </w:r>
      <w:r w:rsidRPr="002F7029">
        <w:rPr>
          <w:rFonts w:ascii="Times New Roman" w:eastAsia="Times New Roman" w:hAnsi="Times New Roman" w:cs="Times New Roman"/>
          <w:bCs/>
          <w:i/>
          <w:iCs/>
          <w:sz w:val="17"/>
          <w:szCs w:val="17"/>
          <w:lang w:val="en-IN"/>
        </w:rPr>
        <w:t xml:space="preserve">Malus </w:t>
      </w:r>
      <w:proofErr w:type="spellStart"/>
      <w:r w:rsidRPr="002F7029">
        <w:rPr>
          <w:rFonts w:ascii="Times New Roman" w:eastAsia="Times New Roman" w:hAnsi="Times New Roman" w:cs="Times New Roman"/>
          <w:bCs/>
          <w:i/>
          <w:iCs/>
          <w:sz w:val="17"/>
          <w:szCs w:val="17"/>
          <w:lang w:val="en-IN"/>
        </w:rPr>
        <w:t>sieversii</w:t>
      </w:r>
      <w:proofErr w:type="spellEnd"/>
      <w:r w:rsidRPr="002F7029">
        <w:rPr>
          <w:rFonts w:ascii="Times New Roman" w:eastAsia="Times New Roman" w:hAnsi="Times New Roman" w:cs="Times New Roman"/>
          <w:bCs/>
          <w:sz w:val="17"/>
          <w:szCs w:val="17"/>
          <w:lang w:val="en-IN"/>
        </w:rPr>
        <w:t xml:space="preserve"> (</w:t>
      </w:r>
      <w:proofErr w:type="spellStart"/>
      <w:r w:rsidRPr="002F7029">
        <w:rPr>
          <w:rFonts w:ascii="Times New Roman" w:eastAsia="Times New Roman" w:hAnsi="Times New Roman" w:cs="Times New Roman"/>
          <w:bCs/>
          <w:sz w:val="17"/>
          <w:szCs w:val="17"/>
          <w:lang w:val="en-IN"/>
        </w:rPr>
        <w:t>Ledeb</w:t>
      </w:r>
      <w:proofErr w:type="spellEnd"/>
      <w:r w:rsidRPr="002F7029">
        <w:rPr>
          <w:rFonts w:ascii="Times New Roman" w:eastAsia="Times New Roman" w:hAnsi="Times New Roman" w:cs="Times New Roman"/>
          <w:bCs/>
          <w:sz w:val="17"/>
          <w:szCs w:val="17"/>
          <w:lang w:val="en-IN"/>
        </w:rPr>
        <w:t xml:space="preserve">.) </w:t>
      </w:r>
      <w:proofErr w:type="spellStart"/>
      <w:r w:rsidRPr="002F7029">
        <w:rPr>
          <w:rFonts w:ascii="Times New Roman" w:eastAsia="Times New Roman" w:hAnsi="Times New Roman" w:cs="Times New Roman"/>
          <w:bCs/>
          <w:sz w:val="17"/>
          <w:szCs w:val="17"/>
          <w:lang w:val="en-IN"/>
        </w:rPr>
        <w:t>M.Roem</w:t>
      </w:r>
      <w:proofErr w:type="spellEnd"/>
      <w:r w:rsidRPr="002F7029">
        <w:rPr>
          <w:rFonts w:ascii="Times New Roman" w:eastAsia="Times New Roman" w:hAnsi="Times New Roman" w:cs="Times New Roman"/>
          <w:bCs/>
          <w:sz w:val="17"/>
          <w:szCs w:val="17"/>
          <w:lang w:val="en-IN"/>
        </w:rPr>
        <w:t xml:space="preserve">. as the progenitor of the cultivated species (Velasco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2010), and a recent appraisal argued that the narrow genetic base of a few dominant cultivars, propagated clonally as monocultures, renders the apple industry vulnerable to weather extremes, pests and pathogens, while noting that the small fruit and other biological barriers of wild apples greatly limit their direct use in breeding (Tegtmeier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2025). Exploitation of such germplasm for climate traits is likely to depend on rootstock breeding, marker-assisted introgression or accelerated breeding systems rather than on conventional crossing alone.</w:t>
      </w:r>
    </w:p>
    <w:p w14:paraId="458A19C9" w14:textId="77777777" w:rsidR="001C1531" w:rsidRPr="0002278B" w:rsidRDefault="001C1531" w:rsidP="00B821B1">
      <w:pPr>
        <w:spacing w:after="0" w:line="240" w:lineRule="auto"/>
        <w:contextualSpacing/>
        <w:jc w:val="both"/>
        <w:rPr>
          <w:rFonts w:ascii="Times New Roman" w:eastAsia="Times New Roman" w:hAnsi="Times New Roman" w:cs="Times New Roman"/>
          <w:bCs/>
          <w:sz w:val="12"/>
          <w:szCs w:val="12"/>
          <w:lang w:val="en-IN"/>
        </w:rPr>
      </w:pPr>
    </w:p>
    <w:p w14:paraId="5603192D"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4.3 Genomics-Assisted Breeding and Prediction Across Environments</w:t>
      </w:r>
    </w:p>
    <w:p w14:paraId="3B143445" w14:textId="77777777" w:rsidR="001C1531" w:rsidRPr="0002278B" w:rsidRDefault="001C1531" w:rsidP="00B821B1">
      <w:pPr>
        <w:spacing w:after="0" w:line="240" w:lineRule="auto"/>
        <w:contextualSpacing/>
        <w:jc w:val="both"/>
        <w:rPr>
          <w:rFonts w:ascii="Times New Roman" w:eastAsia="Times New Roman" w:hAnsi="Times New Roman" w:cs="Times New Roman"/>
          <w:b/>
          <w:bCs/>
          <w:i/>
          <w:iCs/>
          <w:sz w:val="12"/>
          <w:szCs w:val="12"/>
          <w:lang w:val="en-IN"/>
        </w:rPr>
      </w:pPr>
    </w:p>
    <w:p w14:paraId="4FE9C9A9"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Genomic selection (GS) was proposed for fruit trees because it can shorten breeding cycles and increase selection intensity. In an apple population of 1120 seedlings genotyped with 8000 single-nucleotide polymorphisms (SNPs), cross-validated accuracies for fruit quality traits ranged from 0.70 to 0.90 (Kumar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2012). When predictions from a training population were applied to new families in commercial breeding programmes, however, accuracy across ten traits reached a maximum of 0.5 with a median of 0.19, and it depended strongly on heritability and phenotypic distribution (</w:t>
      </w:r>
      <w:proofErr w:type="spellStart"/>
      <w:r w:rsidRPr="002F7029">
        <w:rPr>
          <w:rFonts w:ascii="Times New Roman" w:eastAsia="Times New Roman" w:hAnsi="Times New Roman" w:cs="Times New Roman"/>
          <w:bCs/>
          <w:sz w:val="17"/>
          <w:szCs w:val="17"/>
          <w:lang w:val="en-IN"/>
        </w:rPr>
        <w:t>Muranty</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2015). The difference between these results reflects the general tendency of within-population cross-validation to overestimate the accuracy achievable in new families.</w:t>
      </w:r>
    </w:p>
    <w:p w14:paraId="032A3A5A" w14:textId="77777777" w:rsidR="001C1531" w:rsidRPr="0002278B" w:rsidRDefault="001C1531" w:rsidP="00B821B1">
      <w:pPr>
        <w:spacing w:after="0" w:line="240" w:lineRule="auto"/>
        <w:contextualSpacing/>
        <w:jc w:val="both"/>
        <w:rPr>
          <w:rFonts w:ascii="Times New Roman" w:eastAsia="Times New Roman" w:hAnsi="Times New Roman" w:cs="Times New Roman"/>
          <w:bCs/>
          <w:sz w:val="12"/>
          <w:szCs w:val="12"/>
          <w:lang w:val="en-IN"/>
        </w:rPr>
      </w:pPr>
    </w:p>
    <w:p w14:paraId="56EA2AF7"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The apple reference population (REFPOP), comprising 534 genotypes planted in six European countries, was designed explicitly to support genomic prediction under contrasting climates (Jung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For 30 quantitative traits, GWAS identified 59 stable and 277 location-specific associations, average predictive abilities ranged from 0.18 to 0.88 depending on trait and model, and genotype-by-environment interaction accounted for up to 24% of phenotypic variability (Jung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2022). A subsequent evaluation of 137 prediction scenarios showed that leave-one-family-out validation, which reflects application to new breeding material, reduced average predictive ability by up to 0.24 compared with tenfold cross-validation, and that extending the training set with related germplasm improved it by up to 0.08 (Jung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2025). The European </w:t>
      </w:r>
      <w:proofErr w:type="spellStart"/>
      <w:r w:rsidRPr="002F7029">
        <w:rPr>
          <w:rFonts w:ascii="Times New Roman" w:eastAsia="Times New Roman" w:hAnsi="Times New Roman" w:cs="Times New Roman"/>
          <w:bCs/>
          <w:sz w:val="17"/>
          <w:szCs w:val="17"/>
          <w:lang w:val="en-IN"/>
        </w:rPr>
        <w:t>FruitBreedomics</w:t>
      </w:r>
      <w:proofErr w:type="spellEnd"/>
      <w:r w:rsidRPr="002F7029">
        <w:rPr>
          <w:rFonts w:ascii="Times New Roman" w:eastAsia="Times New Roman" w:hAnsi="Times New Roman" w:cs="Times New Roman"/>
          <w:bCs/>
          <w:sz w:val="17"/>
          <w:szCs w:val="17"/>
          <w:lang w:val="en-IN"/>
        </w:rPr>
        <w:t xml:space="preserve"> initiative, launched explicitly to bridge the gap between genomic resources and practical breeding in apple and peach, delivered dense SNP arrays, ready-to-use DNA diagnostic tests and new phenotyping methods (Laurens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2018).</w:t>
      </w:r>
    </w:p>
    <w:p w14:paraId="0F4481D2" w14:textId="77777777" w:rsidR="001C1531" w:rsidRPr="0002278B" w:rsidRDefault="001C1531" w:rsidP="00B821B1">
      <w:pPr>
        <w:spacing w:after="0" w:line="240" w:lineRule="auto"/>
        <w:contextualSpacing/>
        <w:jc w:val="both"/>
        <w:rPr>
          <w:rFonts w:ascii="Times New Roman" w:eastAsia="Times New Roman" w:hAnsi="Times New Roman" w:cs="Times New Roman"/>
          <w:bCs/>
          <w:sz w:val="12"/>
          <w:szCs w:val="12"/>
          <w:lang w:val="en-IN"/>
        </w:rPr>
      </w:pPr>
    </w:p>
    <w:p w14:paraId="707F2603" w14:textId="77777777" w:rsidR="001C1531"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Two conclusions follow. Genomic prediction is technically mature for traits of moderate to high heritability measured in current environments, but its value for climate adaptation depends on whether models trained across today's sites can predict performance under climates not represented in the training data. The large share of location-specific associations in REFPOP suggests that this transfer cannot be assumed. Genomic offset analysis, which estimates the mismatch between current genomic variation and that predicted to be optimal under future climates, has been proposed as a complementary forecasting tool for fruit trees, but its interpretation and predictive value remain debated and require empirical validation through common-garden networks (Criado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2026). Neither approach has yet been evaluated against realised performance under climate extremes.</w:t>
      </w:r>
    </w:p>
    <w:p w14:paraId="197B58BA" w14:textId="77777777" w:rsidR="004F6249" w:rsidRPr="0002278B" w:rsidRDefault="004F6249" w:rsidP="00B821B1">
      <w:pPr>
        <w:spacing w:after="0" w:line="240" w:lineRule="auto"/>
        <w:contextualSpacing/>
        <w:jc w:val="both"/>
        <w:rPr>
          <w:rFonts w:ascii="Times New Roman" w:eastAsia="Times New Roman" w:hAnsi="Times New Roman" w:cs="Times New Roman"/>
          <w:bCs/>
          <w:sz w:val="12"/>
          <w:szCs w:val="12"/>
          <w:lang w:val="en-IN"/>
        </w:rPr>
      </w:pPr>
    </w:p>
    <w:p w14:paraId="58E22A96"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4.4 Accelerated Breeding Cycles and Precision Genetic Modification</w:t>
      </w:r>
    </w:p>
    <w:p w14:paraId="61A6E4CB" w14:textId="77777777" w:rsidR="001C1531" w:rsidRPr="0002278B" w:rsidRDefault="001C1531" w:rsidP="00B821B1">
      <w:pPr>
        <w:spacing w:after="0" w:line="240" w:lineRule="auto"/>
        <w:contextualSpacing/>
        <w:jc w:val="both"/>
        <w:rPr>
          <w:rFonts w:ascii="Times New Roman" w:eastAsia="Times New Roman" w:hAnsi="Times New Roman" w:cs="Times New Roman"/>
          <w:b/>
          <w:bCs/>
          <w:i/>
          <w:iCs/>
          <w:sz w:val="12"/>
          <w:szCs w:val="12"/>
          <w:lang w:val="en-IN"/>
        </w:rPr>
      </w:pPr>
    </w:p>
    <w:p w14:paraId="7788B31A"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Shortening the juvenile phase is the most direct way to reduce generation time. Transgenic early-flowering apple lines overexpressing the </w:t>
      </w:r>
      <w:r w:rsidRPr="002F7029">
        <w:rPr>
          <w:rFonts w:ascii="Times New Roman" w:eastAsia="Times New Roman" w:hAnsi="Times New Roman" w:cs="Times New Roman"/>
          <w:bCs/>
          <w:i/>
          <w:iCs/>
          <w:sz w:val="17"/>
          <w:szCs w:val="17"/>
          <w:lang w:val="en-IN"/>
        </w:rPr>
        <w:t>BpMADS4</w:t>
      </w:r>
      <w:r w:rsidRPr="002F7029">
        <w:rPr>
          <w:rFonts w:ascii="Times New Roman" w:eastAsia="Times New Roman" w:hAnsi="Times New Roman" w:cs="Times New Roman"/>
          <w:bCs/>
          <w:sz w:val="17"/>
          <w:szCs w:val="17"/>
          <w:lang w:val="en-IN"/>
        </w:rPr>
        <w:t xml:space="preserve"> gene from silver birch (</w:t>
      </w:r>
      <w:r w:rsidRPr="002F7029">
        <w:rPr>
          <w:rFonts w:ascii="Times New Roman" w:eastAsia="Times New Roman" w:hAnsi="Times New Roman" w:cs="Times New Roman"/>
          <w:bCs/>
          <w:i/>
          <w:iCs/>
          <w:sz w:val="17"/>
          <w:szCs w:val="17"/>
          <w:lang w:val="en-IN"/>
        </w:rPr>
        <w:t>Betula pendula</w:t>
      </w:r>
      <w:r w:rsidRPr="002F7029">
        <w:rPr>
          <w:rFonts w:ascii="Times New Roman" w:eastAsia="Times New Roman" w:hAnsi="Times New Roman" w:cs="Times New Roman"/>
          <w:bCs/>
          <w:sz w:val="17"/>
          <w:szCs w:val="17"/>
          <w:lang w:val="en-IN"/>
        </w:rPr>
        <w:t xml:space="preserve"> Roth) were used to establish a breeding programme that </w:t>
      </w:r>
      <w:r w:rsidRPr="002F7029">
        <w:rPr>
          <w:rFonts w:ascii="Times New Roman" w:eastAsia="Times New Roman" w:hAnsi="Times New Roman" w:cs="Times New Roman"/>
          <w:bCs/>
          <w:sz w:val="17"/>
          <w:szCs w:val="17"/>
          <w:lang w:val="en-IN"/>
        </w:rPr>
        <w:lastRenderedPageBreak/>
        <w:t xml:space="preserve">combined rapid crossing cycles with marker-assisted selection, </w:t>
      </w:r>
      <w:proofErr w:type="spellStart"/>
      <w:r w:rsidRPr="002F7029">
        <w:rPr>
          <w:rFonts w:ascii="Times New Roman" w:eastAsia="Times New Roman" w:hAnsi="Times New Roman" w:cs="Times New Roman"/>
          <w:bCs/>
          <w:sz w:val="17"/>
          <w:szCs w:val="17"/>
          <w:lang w:val="en-IN"/>
        </w:rPr>
        <w:t>introgressing</w:t>
      </w:r>
      <w:proofErr w:type="spellEnd"/>
      <w:r w:rsidRPr="002F7029">
        <w:rPr>
          <w:rFonts w:ascii="Times New Roman" w:eastAsia="Times New Roman" w:hAnsi="Times New Roman" w:cs="Times New Roman"/>
          <w:bCs/>
          <w:sz w:val="17"/>
          <w:szCs w:val="17"/>
          <w:lang w:val="en-IN"/>
        </w:rPr>
        <w:t xml:space="preserve"> disease-resistance loci from the wild species </w:t>
      </w:r>
      <w:r w:rsidRPr="002F7029">
        <w:rPr>
          <w:rFonts w:ascii="Times New Roman" w:eastAsia="Times New Roman" w:hAnsi="Times New Roman" w:cs="Times New Roman"/>
          <w:bCs/>
          <w:i/>
          <w:iCs/>
          <w:sz w:val="17"/>
          <w:szCs w:val="17"/>
          <w:lang w:val="en-IN"/>
        </w:rPr>
        <w:t xml:space="preserve">Malus </w:t>
      </w:r>
      <w:proofErr w:type="spellStart"/>
      <w:r w:rsidRPr="002F7029">
        <w:rPr>
          <w:rFonts w:ascii="Times New Roman" w:eastAsia="Times New Roman" w:hAnsi="Times New Roman" w:cs="Times New Roman"/>
          <w:bCs/>
          <w:i/>
          <w:iCs/>
          <w:sz w:val="17"/>
          <w:szCs w:val="17"/>
          <w:lang w:val="en-IN"/>
        </w:rPr>
        <w:t>fusca</w:t>
      </w:r>
      <w:proofErr w:type="spellEnd"/>
      <w:r w:rsidRPr="002F7029">
        <w:rPr>
          <w:rFonts w:ascii="Times New Roman" w:eastAsia="Times New Roman" w:hAnsi="Times New Roman" w:cs="Times New Roman"/>
          <w:bCs/>
          <w:sz w:val="17"/>
          <w:szCs w:val="17"/>
          <w:lang w:val="en-IN"/>
        </w:rPr>
        <w:t xml:space="preserve"> (Raf.) </w:t>
      </w:r>
      <w:proofErr w:type="spellStart"/>
      <w:r w:rsidRPr="002F7029">
        <w:rPr>
          <w:rFonts w:ascii="Times New Roman" w:eastAsia="Times New Roman" w:hAnsi="Times New Roman" w:cs="Times New Roman"/>
          <w:bCs/>
          <w:sz w:val="17"/>
          <w:szCs w:val="17"/>
          <w:lang w:val="en-IN"/>
        </w:rPr>
        <w:t>C.</w:t>
      </w:r>
      <w:proofErr w:type="gramStart"/>
      <w:r w:rsidRPr="002F7029">
        <w:rPr>
          <w:rFonts w:ascii="Times New Roman" w:eastAsia="Times New Roman" w:hAnsi="Times New Roman" w:cs="Times New Roman"/>
          <w:bCs/>
          <w:sz w:val="17"/>
          <w:szCs w:val="17"/>
          <w:lang w:val="en-IN"/>
        </w:rPr>
        <w:t>K.Schneid</w:t>
      </w:r>
      <w:proofErr w:type="spellEnd"/>
      <w:proofErr w:type="gramEnd"/>
      <w:r w:rsidRPr="002F7029">
        <w:rPr>
          <w:rFonts w:ascii="Times New Roman" w:eastAsia="Times New Roman" w:hAnsi="Times New Roman" w:cs="Times New Roman"/>
          <w:bCs/>
          <w:sz w:val="17"/>
          <w:szCs w:val="17"/>
          <w:lang w:val="en-IN"/>
        </w:rPr>
        <w:t>. and from an advanced cultivar into backcross progeny within a few years (</w:t>
      </w:r>
      <w:proofErr w:type="spellStart"/>
      <w:r w:rsidRPr="002F7029">
        <w:rPr>
          <w:rFonts w:ascii="Times New Roman" w:eastAsia="Times New Roman" w:hAnsi="Times New Roman" w:cs="Times New Roman"/>
          <w:bCs/>
          <w:sz w:val="17"/>
          <w:szCs w:val="17"/>
          <w:lang w:val="en-IN"/>
        </w:rPr>
        <w:t>Flachowsky</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2011). The same platform could, in principle, accelerate introgression of climate-related alleles from wild germplasm, although this has not yet been reported. New biotechnological tools, including RNA interference, </w:t>
      </w:r>
      <w:proofErr w:type="spellStart"/>
      <w:r w:rsidRPr="002F7029">
        <w:rPr>
          <w:rFonts w:ascii="Times New Roman" w:eastAsia="Times New Roman" w:hAnsi="Times New Roman" w:cs="Times New Roman"/>
          <w:bCs/>
          <w:sz w:val="17"/>
          <w:szCs w:val="17"/>
          <w:lang w:val="en-IN"/>
        </w:rPr>
        <w:t>cisgenesis</w:t>
      </w:r>
      <w:proofErr w:type="spellEnd"/>
      <w:r w:rsidRPr="002F7029">
        <w:rPr>
          <w:rFonts w:ascii="Times New Roman" w:eastAsia="Times New Roman" w:hAnsi="Times New Roman" w:cs="Times New Roman"/>
          <w:bCs/>
          <w:sz w:val="17"/>
          <w:szCs w:val="17"/>
          <w:lang w:val="en-IN"/>
        </w:rPr>
        <w:t xml:space="preserve">, </w:t>
      </w:r>
      <w:proofErr w:type="spellStart"/>
      <w:r w:rsidRPr="002F7029">
        <w:rPr>
          <w:rFonts w:ascii="Times New Roman" w:eastAsia="Times New Roman" w:hAnsi="Times New Roman" w:cs="Times New Roman"/>
          <w:bCs/>
          <w:sz w:val="17"/>
          <w:szCs w:val="17"/>
          <w:lang w:val="en-IN"/>
        </w:rPr>
        <w:t>intragenesis</w:t>
      </w:r>
      <w:proofErr w:type="spellEnd"/>
      <w:r w:rsidRPr="002F7029">
        <w:rPr>
          <w:rFonts w:ascii="Times New Roman" w:eastAsia="Times New Roman" w:hAnsi="Times New Roman" w:cs="Times New Roman"/>
          <w:bCs/>
          <w:sz w:val="17"/>
          <w:szCs w:val="17"/>
          <w:lang w:val="en-IN"/>
        </w:rPr>
        <w:t xml:space="preserve"> and genome editing, allow targeted modification of specific traits while preserving the overall character of an established cultivar, and some can generate transgene-free plants (</w:t>
      </w:r>
      <w:proofErr w:type="spellStart"/>
      <w:r w:rsidRPr="002F7029">
        <w:rPr>
          <w:rFonts w:ascii="Times New Roman" w:eastAsia="Times New Roman" w:hAnsi="Times New Roman" w:cs="Times New Roman"/>
          <w:bCs/>
          <w:sz w:val="17"/>
          <w:szCs w:val="17"/>
          <w:lang w:val="en-IN"/>
        </w:rPr>
        <w:t>Limera</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2017). DNA-free editing has been demonstrated by delivering purified clustered regularly interspaced short palindromic repeats (CRISPR) and CRISPR-associated protein 9 ribonucleoproteins into grapevine and apple protoplasts, an approach intended to avoid random integration of plasmid DNA and to ease regulatory constraints (</w:t>
      </w:r>
      <w:proofErr w:type="spellStart"/>
      <w:r w:rsidRPr="002F7029">
        <w:rPr>
          <w:rFonts w:ascii="Times New Roman" w:eastAsia="Times New Roman" w:hAnsi="Times New Roman" w:cs="Times New Roman"/>
          <w:bCs/>
          <w:sz w:val="17"/>
          <w:szCs w:val="17"/>
          <w:lang w:val="en-IN"/>
        </w:rPr>
        <w:t>Malnoy</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2016). Reviews of CRISPR applications in fruit trees list targets related to development, yield, fruit quality and stress tolerance (Martín-</w:t>
      </w:r>
      <w:proofErr w:type="spellStart"/>
      <w:r w:rsidRPr="002F7029">
        <w:rPr>
          <w:rFonts w:ascii="Times New Roman" w:eastAsia="Times New Roman" w:hAnsi="Times New Roman" w:cs="Times New Roman"/>
          <w:bCs/>
          <w:sz w:val="17"/>
          <w:szCs w:val="17"/>
          <w:lang w:val="en-IN"/>
        </w:rPr>
        <w:t>Valmaseda</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2023).</w:t>
      </w:r>
    </w:p>
    <w:p w14:paraId="76D12AE3"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524BDAE4"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appraisal of this evidence must distinguish technical feasibility from adaptive value. Protoplast editing, early-flowering systems and proof-of-concept edits establish that the tools work, but they have not yet produced field-validated cultivars with improved tolerance to heat, drought or altered chill regimes. Breeders of disease-resistant grapevine cultivars in Germany have shown that even conventionally bred, field-proven cultivars face prolonged market resistance, and they estimated that competitive cultivars developed with new breeding technologies remain decades from commercial introduction (Töpfer &amp; Trapp, 2022). The rate-limiting step for genetic adaptation is therefore as much the evaluation, regulation and market acceptance of new cultivars as their creation.</w:t>
      </w:r>
    </w:p>
    <w:p w14:paraId="25176923"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43192CC7"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4.5 Varietal Diversity as an Adaptation Portfolio</w:t>
      </w:r>
    </w:p>
    <w:p w14:paraId="020C57F6" w14:textId="77777777" w:rsidR="001C1531" w:rsidRPr="002F7029" w:rsidRDefault="001C1531" w:rsidP="00B821B1">
      <w:pPr>
        <w:spacing w:after="0" w:line="240" w:lineRule="auto"/>
        <w:contextualSpacing/>
        <w:jc w:val="both"/>
        <w:rPr>
          <w:rFonts w:ascii="Times New Roman" w:eastAsia="Times New Roman" w:hAnsi="Times New Roman" w:cs="Times New Roman"/>
          <w:b/>
          <w:bCs/>
          <w:i/>
          <w:iCs/>
          <w:sz w:val="17"/>
          <w:szCs w:val="17"/>
          <w:lang w:val="en-IN"/>
        </w:rPr>
      </w:pPr>
    </w:p>
    <w:p w14:paraId="37D7A0DD"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Because new cultivars arrive slowly, the diversity already present within crops is an immediate adaptive resource. For winegrape, a global analysis of eleven cultivars with contrasting phenology found that shifting to more suitable cultivars as the climate warms more than halved the projected loss of current winegrowing area under 2 °C warming, from 56% to 24%, although the benefit declined at 4 °C, reducing losses only from 85% to 58% (Morales-Castilla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2020). The authors of a related analysis argued that the diversity of existing winegrape varieties is substantial but poorly characterised and underused (</w:t>
      </w:r>
      <w:proofErr w:type="spellStart"/>
      <w:r w:rsidRPr="002F7029">
        <w:rPr>
          <w:rFonts w:ascii="Times New Roman" w:eastAsia="Times New Roman" w:hAnsi="Times New Roman" w:cs="Times New Roman"/>
          <w:bCs/>
          <w:sz w:val="17"/>
          <w:szCs w:val="17"/>
          <w:lang w:val="en-IN"/>
        </w:rPr>
        <w:t>Wolkovich</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2018). In Japan, simulations showed that a cultivar with superior skin colouring, combined with protected cultivation, could maintain acceptable table grape colour even under late-century warming (Sugiura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2019).</w:t>
      </w:r>
    </w:p>
    <w:p w14:paraId="467B5666"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66431E91"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principal constraints on this lever are institutional and economic rather than biological. Vulnerability of European wine regions is increased where geographical indication rules restrict varietal choice (</w:t>
      </w:r>
      <w:proofErr w:type="spellStart"/>
      <w:r w:rsidRPr="002F7029">
        <w:rPr>
          <w:rFonts w:ascii="Times New Roman" w:eastAsia="Times New Roman" w:hAnsi="Times New Roman" w:cs="Times New Roman"/>
          <w:bCs/>
          <w:sz w:val="17"/>
          <w:szCs w:val="17"/>
          <w:lang w:val="en-IN"/>
        </w:rPr>
        <w:t>Tscholl</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2024), and growers of clonally propagated fruit crops are bound by market demand for a few established cultivars (Tegtmeier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2025). The diversity lever also has diminishing returns at higher levels of warming, as the winegrape analysis showed (Morales-Castilla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Evidence outside grapevine is sparse, and comparable analyses for apple, stone fruit and citrus would require multi-site phenology and yield data that are only beginning to be assembled through networks such as REFPOP (Jung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2020).</w:t>
      </w:r>
    </w:p>
    <w:p w14:paraId="1DD52F5D"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37F88A2D" w14:textId="77777777" w:rsidR="001C1531"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genetic approaches discussed in this section are compared in Table 3 according to their target traits, their current maturity and their main limitations. The comparison shows that tools for phenological adaptation are the most advanced, that prediction across future environments remains unvalidated, and that varietal diversity is the lever most readily available to growers, although its benefits weaken as warming increases.</w:t>
      </w:r>
    </w:p>
    <w:p w14:paraId="6630875F" w14:textId="77777777" w:rsidR="0002278B" w:rsidRDefault="0002278B" w:rsidP="00B821B1">
      <w:pPr>
        <w:spacing w:after="0" w:line="240" w:lineRule="auto"/>
        <w:contextualSpacing/>
        <w:jc w:val="both"/>
        <w:rPr>
          <w:rFonts w:ascii="Times New Roman" w:eastAsia="Times New Roman" w:hAnsi="Times New Roman" w:cs="Times New Roman"/>
          <w:bCs/>
          <w:sz w:val="17"/>
          <w:szCs w:val="17"/>
          <w:lang w:val="en-IN"/>
        </w:rPr>
      </w:pPr>
    </w:p>
    <w:p w14:paraId="6EBB5F54" w14:textId="77777777" w:rsidR="0002278B" w:rsidRPr="004F6249" w:rsidRDefault="0002278B" w:rsidP="00B821B1">
      <w:pPr>
        <w:spacing w:after="0" w:line="240" w:lineRule="auto"/>
        <w:contextualSpacing/>
        <w:jc w:val="center"/>
        <w:rPr>
          <w:rFonts w:ascii="Times New Roman" w:eastAsia="Times New Roman" w:hAnsi="Times New Roman" w:cs="Times New Roman"/>
          <w:b/>
          <w:bCs/>
          <w:sz w:val="17"/>
          <w:szCs w:val="17"/>
          <w:lang w:val="en-IN"/>
        </w:rPr>
      </w:pPr>
      <w:r w:rsidRPr="004F6249">
        <w:rPr>
          <w:rFonts w:ascii="Times New Roman" w:eastAsia="Times New Roman" w:hAnsi="Times New Roman" w:cs="Times New Roman"/>
          <w:b/>
          <w:bCs/>
          <w:sz w:val="17"/>
          <w:szCs w:val="17"/>
          <w:lang w:val="en-IN"/>
        </w:rPr>
        <w:t>Table 3. Genetic approaches to climate adaptation in perennial fruit crops: target traits, maturity of evidence and principal limitations</w:t>
      </w:r>
    </w:p>
    <w:p w14:paraId="254513A7" w14:textId="77777777" w:rsidR="0002278B" w:rsidRPr="002F7029" w:rsidRDefault="0002278B" w:rsidP="00B821B1">
      <w:pPr>
        <w:spacing w:after="0" w:line="240" w:lineRule="auto"/>
        <w:contextualSpacing/>
        <w:jc w:val="both"/>
        <w:rPr>
          <w:rFonts w:ascii="Times New Roman" w:eastAsia="Times New Roman" w:hAnsi="Times New Roman" w:cs="Times New Roman"/>
          <w:bCs/>
          <w:sz w:val="17"/>
          <w:szCs w:val="17"/>
          <w:lang w:val="en-IN"/>
        </w:rPr>
      </w:pPr>
    </w:p>
    <w:tbl>
      <w:tblPr>
        <w:tblStyle w:val="TableGrid"/>
        <w:tblW w:w="4875" w:type="pct"/>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523"/>
        <w:gridCol w:w="1620"/>
        <w:gridCol w:w="1800"/>
        <w:gridCol w:w="2378"/>
        <w:gridCol w:w="1693"/>
      </w:tblGrid>
      <w:tr w:rsidR="0002278B" w:rsidRPr="002F7029" w14:paraId="120500AB" w14:textId="77777777" w:rsidTr="0002278B">
        <w:trPr>
          <w:trHeight w:val="20"/>
          <w:tblHeader/>
          <w:jc w:val="center"/>
        </w:trPr>
        <w:tc>
          <w:tcPr>
            <w:tcW w:w="1523" w:type="dxa"/>
          </w:tcPr>
          <w:p w14:paraId="660FA424" w14:textId="77777777" w:rsidR="0002278B" w:rsidRPr="002F7029" w:rsidRDefault="0002278B" w:rsidP="00B821B1">
            <w:pPr>
              <w:ind w:left="-53" w:right="-83" w:firstLine="53"/>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Approach</w:t>
            </w:r>
          </w:p>
        </w:tc>
        <w:tc>
          <w:tcPr>
            <w:tcW w:w="1620" w:type="dxa"/>
          </w:tcPr>
          <w:p w14:paraId="0118D4F2" w14:textId="74E69CA5"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Main Climate-Relevant Targets</w:t>
            </w:r>
          </w:p>
        </w:tc>
        <w:tc>
          <w:tcPr>
            <w:tcW w:w="1800" w:type="dxa"/>
          </w:tcPr>
          <w:p w14:paraId="30ADEF8D" w14:textId="2F8C330C" w:rsidR="0002278B" w:rsidRPr="002F7029" w:rsidRDefault="0002278B" w:rsidP="00B821B1">
            <w:pPr>
              <w:ind w:left="-53" w:right="-83" w:firstLine="53"/>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Maturity of Evidence</w:t>
            </w:r>
          </w:p>
        </w:tc>
        <w:tc>
          <w:tcPr>
            <w:tcW w:w="2378" w:type="dxa"/>
          </w:tcPr>
          <w:p w14:paraId="1BCBD170" w14:textId="70691EDA" w:rsidR="0002278B" w:rsidRPr="002F7029" w:rsidRDefault="0002278B" w:rsidP="00B821B1">
            <w:pPr>
              <w:ind w:left="-53" w:right="-83" w:firstLine="53"/>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Principal Limitations</w:t>
            </w:r>
          </w:p>
        </w:tc>
        <w:tc>
          <w:tcPr>
            <w:tcW w:w="1693" w:type="dxa"/>
          </w:tcPr>
          <w:p w14:paraId="752E732A" w14:textId="7E936C8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Supporting References</w:t>
            </w:r>
          </w:p>
        </w:tc>
      </w:tr>
      <w:tr w:rsidR="0002278B" w:rsidRPr="00553C64" w14:paraId="233A79B6" w14:textId="77777777" w:rsidTr="0002278B">
        <w:trPr>
          <w:trHeight w:val="20"/>
          <w:jc w:val="center"/>
        </w:trPr>
        <w:tc>
          <w:tcPr>
            <w:tcW w:w="1523" w:type="dxa"/>
          </w:tcPr>
          <w:p w14:paraId="64F7594A"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Recurrent selection for low chilling requirement</w:t>
            </w:r>
          </w:p>
        </w:tc>
        <w:tc>
          <w:tcPr>
            <w:tcW w:w="1620" w:type="dxa"/>
          </w:tcPr>
          <w:p w14:paraId="00295C6E"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Adaptation to warm winters; timely bloom</w:t>
            </w:r>
          </w:p>
        </w:tc>
        <w:tc>
          <w:tcPr>
            <w:tcW w:w="1800" w:type="dxa"/>
          </w:tcPr>
          <w:p w14:paraId="4DCB94B1"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Established in breeding programmes for subtropical peach and blueberry</w:t>
            </w:r>
          </w:p>
        </w:tc>
        <w:tc>
          <w:tcPr>
            <w:tcW w:w="2378" w:type="dxa"/>
          </w:tcPr>
          <w:p w14:paraId="16143501"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Polygenic control; long cycles; increased frost exposure of early-blooming genotypes</w:t>
            </w:r>
          </w:p>
        </w:tc>
        <w:tc>
          <w:tcPr>
            <w:tcW w:w="1693" w:type="dxa"/>
          </w:tcPr>
          <w:p w14:paraId="20421C0A" w14:textId="77777777" w:rsidR="0002278B" w:rsidRPr="002F7029" w:rsidRDefault="0002278B" w:rsidP="00B821B1">
            <w:pPr>
              <w:ind w:left="-53" w:right="-83"/>
              <w:contextualSpacing/>
              <w:rPr>
                <w:rFonts w:ascii="Times New Roman" w:eastAsia="Times New Roman" w:hAnsi="Times New Roman"/>
                <w:bCs/>
                <w:sz w:val="17"/>
                <w:szCs w:val="17"/>
                <w:lang w:val="nl-BE"/>
              </w:rPr>
            </w:pPr>
            <w:r w:rsidRPr="002F7029">
              <w:rPr>
                <w:rFonts w:ascii="Times New Roman" w:eastAsia="Times New Roman" w:hAnsi="Times New Roman"/>
                <w:bCs/>
                <w:sz w:val="17"/>
                <w:szCs w:val="17"/>
                <w:lang w:val="nl-BE"/>
              </w:rPr>
              <w:t xml:space="preserve">E. Fernandez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(2023); Lyrene (2005)</w:t>
            </w:r>
          </w:p>
        </w:tc>
      </w:tr>
      <w:tr w:rsidR="0002278B" w:rsidRPr="002F7029" w14:paraId="711F88CF" w14:textId="77777777" w:rsidTr="0002278B">
        <w:trPr>
          <w:trHeight w:val="20"/>
          <w:jc w:val="center"/>
        </w:trPr>
        <w:tc>
          <w:tcPr>
            <w:tcW w:w="1523" w:type="dxa"/>
          </w:tcPr>
          <w:p w14:paraId="155BF8F0"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QTL mapping and diagnostic DNA tests for phenology</w:t>
            </w:r>
          </w:p>
        </w:tc>
        <w:tc>
          <w:tcPr>
            <w:tcW w:w="1620" w:type="dxa"/>
          </w:tcPr>
          <w:p w14:paraId="0469BD0C"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Chilling requirement, heat requirement, bloom and budbreak date</w:t>
            </w:r>
          </w:p>
        </w:tc>
        <w:tc>
          <w:tcPr>
            <w:tcW w:w="1800" w:type="dxa"/>
          </w:tcPr>
          <w:p w14:paraId="67862F21" w14:textId="77777777" w:rsidR="0002278B" w:rsidRPr="002F7029" w:rsidRDefault="0002278B" w:rsidP="00B821B1">
            <w:pPr>
              <w:ind w:left="-53" w:right="-83"/>
              <w:contextualSpacing/>
              <w:rPr>
                <w:rFonts w:ascii="Times New Roman" w:eastAsia="Times New Roman" w:hAnsi="Times New Roman"/>
                <w:bCs/>
                <w:sz w:val="17"/>
                <w:szCs w:val="17"/>
                <w:lang w:val="en-IN"/>
              </w:rPr>
            </w:pPr>
            <w:proofErr w:type="gramStart"/>
            <w:r w:rsidRPr="002F7029">
              <w:rPr>
                <w:rFonts w:ascii="Times New Roman" w:eastAsia="Times New Roman" w:hAnsi="Times New Roman"/>
                <w:bCs/>
                <w:sz w:val="17"/>
                <w:szCs w:val="17"/>
                <w:lang w:val="en-IN"/>
              </w:rPr>
              <w:t>Well</w:t>
            </w:r>
            <w:proofErr w:type="gramEnd"/>
            <w:r w:rsidRPr="002F7029">
              <w:rPr>
                <w:rFonts w:ascii="Times New Roman" w:eastAsia="Times New Roman" w:hAnsi="Times New Roman"/>
                <w:bCs/>
                <w:sz w:val="17"/>
                <w:szCs w:val="17"/>
                <w:lang w:val="en-IN"/>
              </w:rPr>
              <w:t xml:space="preserve"> supported for peach and apple; one validated low-cost test for peach chilling requirement</w:t>
            </w:r>
          </w:p>
        </w:tc>
        <w:tc>
          <w:tcPr>
            <w:tcW w:w="2378" w:type="dxa"/>
          </w:tcPr>
          <w:p w14:paraId="21CAE08E"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Population-specific and environment-dependent effects; method-sensitive phenotyping; tests resolve classes rather than precise values</w:t>
            </w:r>
          </w:p>
        </w:tc>
        <w:tc>
          <w:tcPr>
            <w:tcW w:w="1693" w:type="dxa"/>
          </w:tcPr>
          <w:p w14:paraId="7F1559B6"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Allard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(2016); Celton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(2011); Demirel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(2023); Fan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 xml:space="preserve">(2010); Ru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(2015)</w:t>
            </w:r>
          </w:p>
        </w:tc>
      </w:tr>
      <w:tr w:rsidR="0002278B" w:rsidRPr="002F7029" w14:paraId="3554246B" w14:textId="77777777" w:rsidTr="0002278B">
        <w:trPr>
          <w:trHeight w:val="20"/>
          <w:jc w:val="center"/>
        </w:trPr>
        <w:tc>
          <w:tcPr>
            <w:tcW w:w="1523" w:type="dxa"/>
          </w:tcPr>
          <w:p w14:paraId="61D06A67"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Functional genomics of dormancy</w:t>
            </w:r>
          </w:p>
        </w:tc>
        <w:tc>
          <w:tcPr>
            <w:tcW w:w="1620" w:type="dxa"/>
          </w:tcPr>
          <w:p w14:paraId="138EDF57"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DAM gene cluster and its epigenetic regulation</w:t>
            </w:r>
          </w:p>
        </w:tc>
        <w:tc>
          <w:tcPr>
            <w:tcW w:w="1800" w:type="dxa"/>
          </w:tcPr>
          <w:p w14:paraId="6B1AD1FD" w14:textId="77777777" w:rsidR="0002278B" w:rsidRPr="002F7029" w:rsidRDefault="0002278B" w:rsidP="00B821B1">
            <w:pPr>
              <w:ind w:left="-53" w:right="-83"/>
              <w:contextualSpacing/>
              <w:rPr>
                <w:rFonts w:ascii="Times New Roman" w:eastAsia="Times New Roman" w:hAnsi="Times New Roman"/>
                <w:bCs/>
                <w:sz w:val="17"/>
                <w:szCs w:val="17"/>
                <w:lang w:val="en-IN"/>
              </w:rPr>
            </w:pPr>
            <w:proofErr w:type="gramStart"/>
            <w:r w:rsidRPr="002F7029">
              <w:rPr>
                <w:rFonts w:ascii="Times New Roman" w:eastAsia="Times New Roman" w:hAnsi="Times New Roman"/>
                <w:bCs/>
                <w:sz w:val="17"/>
                <w:szCs w:val="17"/>
                <w:lang w:val="en-IN"/>
              </w:rPr>
              <w:t>Well</w:t>
            </w:r>
            <w:proofErr w:type="gramEnd"/>
            <w:r w:rsidRPr="002F7029">
              <w:rPr>
                <w:rFonts w:ascii="Times New Roman" w:eastAsia="Times New Roman" w:hAnsi="Times New Roman"/>
                <w:bCs/>
                <w:sz w:val="17"/>
                <w:szCs w:val="17"/>
                <w:lang w:val="en-IN"/>
              </w:rPr>
              <w:t xml:space="preserve"> supported mechanistically in peach; functional validation in transgenic systems</w:t>
            </w:r>
          </w:p>
        </w:tc>
        <w:tc>
          <w:tcPr>
            <w:tcW w:w="2378" w:type="dxa"/>
          </w:tcPr>
          <w:p w14:paraId="7EF6B863"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Limited translation into selection tools; regulation differs among species</w:t>
            </w:r>
          </w:p>
        </w:tc>
        <w:tc>
          <w:tcPr>
            <w:tcW w:w="1693" w:type="dxa"/>
          </w:tcPr>
          <w:p w14:paraId="5A0CBA4E"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Bielenberg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(2008); Yamane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(2011); Zhao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(2023); Zhu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(2020)</w:t>
            </w:r>
          </w:p>
        </w:tc>
      </w:tr>
      <w:tr w:rsidR="0002278B" w:rsidRPr="002F7029" w14:paraId="1D8639D6" w14:textId="77777777" w:rsidTr="0002278B">
        <w:trPr>
          <w:trHeight w:val="20"/>
          <w:jc w:val="center"/>
        </w:trPr>
        <w:tc>
          <w:tcPr>
            <w:tcW w:w="1523" w:type="dxa"/>
          </w:tcPr>
          <w:p w14:paraId="7805EDCA"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Genomic selection and multi-environment prediction</w:t>
            </w:r>
          </w:p>
        </w:tc>
        <w:tc>
          <w:tcPr>
            <w:tcW w:w="1620" w:type="dxa"/>
          </w:tcPr>
          <w:p w14:paraId="1680652F"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Phenology, productivity and fruit quality</w:t>
            </w:r>
          </w:p>
        </w:tc>
        <w:tc>
          <w:tcPr>
            <w:tcW w:w="1800" w:type="dxa"/>
          </w:tcPr>
          <w:p w14:paraId="56B666DB"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Moderately supported; high within-population accuracy, lower accuracy in new families</w:t>
            </w:r>
          </w:p>
        </w:tc>
        <w:tc>
          <w:tcPr>
            <w:tcW w:w="2378" w:type="dxa"/>
          </w:tcPr>
          <w:p w14:paraId="2E94D4E6"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Location-specific associations; untested transfer to novel climates; dependence on training-set relatedness</w:t>
            </w:r>
          </w:p>
        </w:tc>
        <w:tc>
          <w:tcPr>
            <w:tcW w:w="1693" w:type="dxa"/>
          </w:tcPr>
          <w:p w14:paraId="1EB84044"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Jung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(2022); Jung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(2025); Kumar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(2012); Muranty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(2015)</w:t>
            </w:r>
          </w:p>
        </w:tc>
      </w:tr>
      <w:tr w:rsidR="0002278B" w:rsidRPr="002F7029" w14:paraId="5FEB4744" w14:textId="77777777" w:rsidTr="0002278B">
        <w:trPr>
          <w:trHeight w:val="20"/>
          <w:jc w:val="center"/>
        </w:trPr>
        <w:tc>
          <w:tcPr>
            <w:tcW w:w="1523" w:type="dxa"/>
          </w:tcPr>
          <w:p w14:paraId="41658502"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Genomic offset forecasting</w:t>
            </w:r>
          </w:p>
        </w:tc>
        <w:tc>
          <w:tcPr>
            <w:tcW w:w="1620" w:type="dxa"/>
          </w:tcPr>
          <w:p w14:paraId="6EAC7564"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Anticipation of maladaptation of genotypes to future climates</w:t>
            </w:r>
          </w:p>
        </w:tc>
        <w:tc>
          <w:tcPr>
            <w:tcW w:w="1800" w:type="dxa"/>
          </w:tcPr>
          <w:p w14:paraId="69206B19"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Preliminary; conceptual roadmap for fruit trees</w:t>
            </w:r>
          </w:p>
        </w:tc>
        <w:tc>
          <w:tcPr>
            <w:tcW w:w="2378" w:type="dxa"/>
          </w:tcPr>
          <w:p w14:paraId="1BB97BF8"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Contested interpretation; lack of validation against realised performance</w:t>
            </w:r>
          </w:p>
        </w:tc>
        <w:tc>
          <w:tcPr>
            <w:tcW w:w="1693" w:type="dxa"/>
          </w:tcPr>
          <w:p w14:paraId="35D5A36C" w14:textId="77777777" w:rsidR="0002278B" w:rsidRPr="002F7029" w:rsidRDefault="0002278B" w:rsidP="00B821B1">
            <w:pPr>
              <w:ind w:left="-60"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 xml:space="preserve">Criado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(2026)</w:t>
            </w:r>
          </w:p>
        </w:tc>
      </w:tr>
      <w:tr w:rsidR="0002278B" w:rsidRPr="002F7029" w14:paraId="4385A8CD" w14:textId="77777777" w:rsidTr="0002278B">
        <w:trPr>
          <w:trHeight w:val="20"/>
          <w:jc w:val="center"/>
        </w:trPr>
        <w:tc>
          <w:tcPr>
            <w:tcW w:w="1523" w:type="dxa"/>
          </w:tcPr>
          <w:p w14:paraId="6019DE28"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lastRenderedPageBreak/>
              <w:t>Accelerated breeding and genome editing</w:t>
            </w:r>
          </w:p>
        </w:tc>
        <w:tc>
          <w:tcPr>
            <w:tcW w:w="1620" w:type="dxa"/>
          </w:tcPr>
          <w:p w14:paraId="5B6C984B"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Shortened generation time; targeted modification of stress-related genes</w:t>
            </w:r>
          </w:p>
        </w:tc>
        <w:tc>
          <w:tcPr>
            <w:tcW w:w="1800" w:type="dxa"/>
          </w:tcPr>
          <w:p w14:paraId="701B676F"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Technically demonstrated (early-flowering apple breeding platform, DNA-free editing in protoplasts)</w:t>
            </w:r>
          </w:p>
        </w:tc>
        <w:tc>
          <w:tcPr>
            <w:tcW w:w="2378" w:type="dxa"/>
          </w:tcPr>
          <w:p w14:paraId="665C06A2"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No field-validated climate-adapted cultivars; regulatory and market barriers</w:t>
            </w:r>
          </w:p>
        </w:tc>
        <w:tc>
          <w:tcPr>
            <w:tcW w:w="1693" w:type="dxa"/>
          </w:tcPr>
          <w:p w14:paraId="737751AF"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Flachowsky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(2011); Limera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(2017); Malnoy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(2016); Martín-Valmaseda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(2023); Töpfer &amp; Trapp (2022)</w:t>
            </w:r>
          </w:p>
        </w:tc>
      </w:tr>
      <w:tr w:rsidR="0002278B" w:rsidRPr="002F7029" w14:paraId="15A0D5F6" w14:textId="77777777" w:rsidTr="0002278B">
        <w:trPr>
          <w:trHeight w:val="20"/>
          <w:jc w:val="center"/>
        </w:trPr>
        <w:tc>
          <w:tcPr>
            <w:tcW w:w="1523" w:type="dxa"/>
          </w:tcPr>
          <w:p w14:paraId="79A98E9F"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Use of existing varietal diversity</w:t>
            </w:r>
          </w:p>
        </w:tc>
        <w:tc>
          <w:tcPr>
            <w:tcW w:w="1620" w:type="dxa"/>
          </w:tcPr>
          <w:p w14:paraId="78D154E8"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Phenological matching to future climates; colour and quality stability</w:t>
            </w:r>
          </w:p>
        </w:tc>
        <w:tc>
          <w:tcPr>
            <w:tcW w:w="1800" w:type="dxa"/>
          </w:tcPr>
          <w:p w14:paraId="11B33EE5"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Moderately supported for grapevine through modelling and long-term records</w:t>
            </w:r>
          </w:p>
        </w:tc>
        <w:tc>
          <w:tcPr>
            <w:tcW w:w="2378" w:type="dxa"/>
          </w:tcPr>
          <w:p w14:paraId="24809F59"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Diminishing benefit at high warming; institutional and market rigidity; sparse data outside grapevine</w:t>
            </w:r>
          </w:p>
        </w:tc>
        <w:tc>
          <w:tcPr>
            <w:tcW w:w="1693" w:type="dxa"/>
          </w:tcPr>
          <w:p w14:paraId="756DF019"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Morales-Castilla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(2020); Sugiura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(2019); Tscholl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 xml:space="preserve">(2024); </w:t>
            </w:r>
            <w:proofErr w:type="spellStart"/>
            <w:r w:rsidRPr="002F7029">
              <w:rPr>
                <w:rFonts w:ascii="Times New Roman" w:eastAsia="Times New Roman" w:hAnsi="Times New Roman"/>
                <w:bCs/>
                <w:sz w:val="17"/>
                <w:szCs w:val="17"/>
                <w:lang w:val="en-IN"/>
              </w:rPr>
              <w:t>Wolkovich</w:t>
            </w:r>
            <w:proofErr w:type="spellEnd"/>
            <w:r w:rsidRPr="002F7029">
              <w:rPr>
                <w:rFonts w:ascii="Times New Roman" w:eastAsia="Times New Roman" w:hAnsi="Times New Roman"/>
                <w:bCs/>
                <w:sz w:val="17"/>
                <w:szCs w:val="17"/>
                <w:lang w:val="en-IN"/>
              </w:rPr>
              <w:t xml:space="preserve">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(2018)</w:t>
            </w:r>
          </w:p>
        </w:tc>
      </w:tr>
      <w:tr w:rsidR="0002278B" w:rsidRPr="002F7029" w14:paraId="3D29AEF7" w14:textId="77777777" w:rsidTr="0002278B">
        <w:trPr>
          <w:trHeight w:val="20"/>
          <w:jc w:val="center"/>
        </w:trPr>
        <w:tc>
          <w:tcPr>
            <w:tcW w:w="1523" w:type="dxa"/>
          </w:tcPr>
          <w:p w14:paraId="563D00FA"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Wild relatives as donors</w:t>
            </w:r>
          </w:p>
        </w:tc>
        <w:tc>
          <w:tcPr>
            <w:tcW w:w="1620" w:type="dxa"/>
          </w:tcPr>
          <w:p w14:paraId="7D5B6303"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Stress-tolerance alleles absent from elite cultivars</w:t>
            </w:r>
          </w:p>
        </w:tc>
        <w:tc>
          <w:tcPr>
            <w:tcW w:w="1800" w:type="dxa"/>
          </w:tcPr>
          <w:p w14:paraId="35F27562"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Preliminary for climate traits</w:t>
            </w:r>
          </w:p>
        </w:tc>
        <w:tc>
          <w:tcPr>
            <w:tcW w:w="2378" w:type="dxa"/>
          </w:tcPr>
          <w:p w14:paraId="318DFDDB"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Small fruit and long juvenile phase hinder introgression</w:t>
            </w:r>
          </w:p>
        </w:tc>
        <w:tc>
          <w:tcPr>
            <w:tcW w:w="1693" w:type="dxa"/>
          </w:tcPr>
          <w:p w14:paraId="2F507873" w14:textId="77777777" w:rsidR="0002278B" w:rsidRPr="002F7029" w:rsidRDefault="0002278B" w:rsidP="00B821B1">
            <w:pPr>
              <w:ind w:left="-53" w:right="-83"/>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Tegtmeier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(2025); Velasco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(2010)</w:t>
            </w:r>
          </w:p>
        </w:tc>
      </w:tr>
    </w:tbl>
    <w:p w14:paraId="4597E1B9" w14:textId="686B177E" w:rsidR="0002278B" w:rsidRPr="00E24F6C" w:rsidRDefault="0002278B" w:rsidP="00B821B1">
      <w:pPr>
        <w:spacing w:after="0" w:line="240" w:lineRule="auto"/>
        <w:contextualSpacing/>
        <w:jc w:val="center"/>
        <w:rPr>
          <w:rFonts w:ascii="Times New Roman" w:eastAsia="Times New Roman" w:hAnsi="Times New Roman" w:cs="Times New Roman"/>
          <w:bCs/>
          <w:i/>
          <w:iCs/>
          <w:sz w:val="16"/>
          <w:szCs w:val="16"/>
          <w:lang w:val="en-IN"/>
        </w:rPr>
      </w:pPr>
      <w:r w:rsidRPr="00E24F6C">
        <w:rPr>
          <w:rFonts w:ascii="Times New Roman" w:eastAsia="Times New Roman" w:hAnsi="Times New Roman" w:cs="Times New Roman"/>
          <w:bCs/>
          <w:i/>
          <w:iCs/>
          <w:sz w:val="16"/>
          <w:szCs w:val="16"/>
          <w:lang w:val="en-IN"/>
        </w:rPr>
        <w:t>Note. DAM, dormancy-associated MADS-box; QTL, quantitative trait locus. Maturity categories follow the appraisal rubric described in Section 2.3</w:t>
      </w:r>
    </w:p>
    <w:p w14:paraId="6FFA8B6A" w14:textId="1686BD88"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3E58A5AA" w14:textId="77777777" w:rsidR="001C1531" w:rsidRPr="002F7029" w:rsidRDefault="001C1531" w:rsidP="00B821B1">
      <w:pPr>
        <w:pStyle w:val="Heading3"/>
        <w:keepNext w:val="0"/>
        <w:keepLines w:val="0"/>
        <w:rPr>
          <w:rFonts w:eastAsia="Times New Roman"/>
          <w:lang w:val="en-IN"/>
        </w:rPr>
      </w:pPr>
      <w:r w:rsidRPr="002F7029">
        <w:rPr>
          <w:rFonts w:eastAsia="Times New Roman"/>
          <w:lang w:val="en-IN"/>
        </w:rPr>
        <w:t>5. Rootstocks as an Adaptive Interface Between Tree and Soil</w:t>
      </w:r>
    </w:p>
    <w:p w14:paraId="665348B6" w14:textId="77777777" w:rsidR="001C1531" w:rsidRPr="002F7029" w:rsidRDefault="001C1531" w:rsidP="00B821B1">
      <w:pPr>
        <w:spacing w:after="0" w:line="240" w:lineRule="auto"/>
        <w:contextualSpacing/>
        <w:jc w:val="both"/>
        <w:rPr>
          <w:rFonts w:ascii="Times New Roman" w:eastAsia="Times New Roman" w:hAnsi="Times New Roman" w:cs="Times New Roman"/>
          <w:b/>
          <w:bCs/>
          <w:sz w:val="17"/>
          <w:szCs w:val="17"/>
          <w:lang w:val="en-IN"/>
        </w:rPr>
      </w:pPr>
    </w:p>
    <w:p w14:paraId="69D83A8E"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Rootstocks allow the root system to be selected independently of the fruiting scion, which makes them the most flexible genetic lever available to growers of grafted crops. Grafting has been used for centuries to control vigour, precocity and soil-borne problems, but the physiological and molecular basis of rootstock effects on shoot phenotypes has been investigated systematically only in the last two decades (Albacete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2015; </w:t>
      </w:r>
      <w:proofErr w:type="spellStart"/>
      <w:r w:rsidRPr="002F7029">
        <w:rPr>
          <w:rFonts w:ascii="Times New Roman" w:eastAsia="Times New Roman" w:hAnsi="Times New Roman" w:cs="Times New Roman"/>
          <w:bCs/>
          <w:sz w:val="17"/>
          <w:szCs w:val="17"/>
          <w:lang w:val="en-IN"/>
        </w:rPr>
        <w:t>Warschefsky</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2016). In grapevine, nearly 80% of commercial vines are grafted (Harris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2023). Because the rootstock governs water uptake, ion selectivity and part of the hormonal signalling that reaches the scion, it is directly involved in the response to drought, salinity and heat. This section appraises the evidence for these functions and identifies where claims of rootstock-conferred tolerance outrun the experimental evidence.</w:t>
      </w:r>
    </w:p>
    <w:p w14:paraId="40A71E16"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274B4496"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5.1 Vigour Control, Hydraulic Architecture and Tree Water Use</w:t>
      </w:r>
    </w:p>
    <w:p w14:paraId="3E26912B" w14:textId="77777777" w:rsidR="001C1531" w:rsidRPr="002F7029" w:rsidRDefault="001C1531" w:rsidP="00B821B1">
      <w:pPr>
        <w:spacing w:after="0" w:line="240" w:lineRule="auto"/>
        <w:contextualSpacing/>
        <w:jc w:val="both"/>
        <w:rPr>
          <w:rFonts w:ascii="Times New Roman" w:eastAsia="Times New Roman" w:hAnsi="Times New Roman" w:cs="Times New Roman"/>
          <w:b/>
          <w:bCs/>
          <w:i/>
          <w:iCs/>
          <w:sz w:val="17"/>
          <w:szCs w:val="17"/>
          <w:lang w:val="en-IN"/>
        </w:rPr>
      </w:pPr>
    </w:p>
    <w:p w14:paraId="0D92F0A8"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Size-controlling rootstocks underpin modern high-density orchards, and their mode of action is closely linked to water transport. In peach, trees on low- and intermediate-vigour rootstocks had leaf-specific hydraulic </w:t>
      </w:r>
      <w:proofErr w:type="spellStart"/>
      <w:r w:rsidRPr="002F7029">
        <w:rPr>
          <w:rFonts w:ascii="Times New Roman" w:eastAsia="Times New Roman" w:hAnsi="Times New Roman" w:cs="Times New Roman"/>
          <w:bCs/>
          <w:sz w:val="17"/>
          <w:szCs w:val="17"/>
          <w:lang w:val="en-IN"/>
        </w:rPr>
        <w:t>conductances</w:t>
      </w:r>
      <w:proofErr w:type="spellEnd"/>
      <w:r w:rsidRPr="002F7029">
        <w:rPr>
          <w:rFonts w:ascii="Times New Roman" w:eastAsia="Times New Roman" w:hAnsi="Times New Roman" w:cs="Times New Roman"/>
          <w:bCs/>
          <w:sz w:val="17"/>
          <w:szCs w:val="17"/>
          <w:lang w:val="en-IN"/>
        </w:rPr>
        <w:t xml:space="preserve"> 27% to 52% lower than those on the vigorous '</w:t>
      </w:r>
      <w:proofErr w:type="spellStart"/>
      <w:r w:rsidRPr="002F7029">
        <w:rPr>
          <w:rFonts w:ascii="Times New Roman" w:eastAsia="Times New Roman" w:hAnsi="Times New Roman" w:cs="Times New Roman"/>
          <w:bCs/>
          <w:sz w:val="17"/>
          <w:szCs w:val="17"/>
          <w:lang w:val="en-IN"/>
        </w:rPr>
        <w:t>Nemaguard</w:t>
      </w:r>
      <w:proofErr w:type="spellEnd"/>
      <w:r w:rsidRPr="002F7029">
        <w:rPr>
          <w:rFonts w:ascii="Times New Roman" w:eastAsia="Times New Roman" w:hAnsi="Times New Roman" w:cs="Times New Roman"/>
          <w:bCs/>
          <w:sz w:val="17"/>
          <w:szCs w:val="17"/>
          <w:lang w:val="en-IN"/>
        </w:rPr>
        <w:t xml:space="preserve">' rootstock, together with lower relative growth rates and altered biomass partitioning (Solari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2006). Anatomical analyses showed that the most dwarfing peach rootstock had smaller and more numerous xylem vessels, which reduced calculated axial conductance, leading to the conclusion that xylem anatomy may be the main determinant of dwarfing in these genotypes (</w:t>
      </w:r>
      <w:proofErr w:type="spellStart"/>
      <w:r w:rsidRPr="002F7029">
        <w:rPr>
          <w:rFonts w:ascii="Times New Roman" w:eastAsia="Times New Roman" w:hAnsi="Times New Roman" w:cs="Times New Roman"/>
          <w:bCs/>
          <w:sz w:val="17"/>
          <w:szCs w:val="17"/>
          <w:lang w:val="en-IN"/>
        </w:rPr>
        <w:t>Tombesi</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2010). The evidence for apple is less consistent. Mature trees on the dwarfing M.9 rootstock had higher leaf-specific hydraulic resistance than trees on more vigorous rootstocks in Israel, with the graft union implicated as the site of additional resistance, but in Vermont the resistance of trees on six rootstocks was not consistently related to vigour (Cohen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2007). Dwarfing appears to involve hydraulic restriction in several species, but the location and magnitude of that restriction vary among rootstock genotypes and environments.</w:t>
      </w:r>
    </w:p>
    <w:p w14:paraId="233E8FCB"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59271F6B"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The implications for climate resilience are ambivalent. Lower hydraulic supply reduces vigour and canopy leaf area, which lowers whole-tree water demand, but it is also associated with reduced midday water potential in the scion (Solari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2006; </w:t>
      </w:r>
      <w:proofErr w:type="spellStart"/>
      <w:r w:rsidRPr="002F7029">
        <w:rPr>
          <w:rFonts w:ascii="Times New Roman" w:eastAsia="Times New Roman" w:hAnsi="Times New Roman" w:cs="Times New Roman"/>
          <w:bCs/>
          <w:sz w:val="17"/>
          <w:szCs w:val="17"/>
          <w:lang w:val="en-IN"/>
        </w:rPr>
        <w:t>Tombesi</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2010), which could increase sensitivity to high evaporative demand. Whether dwarfing rootstocks increase or decrease vulnerability to heatwaves and drought has not been tested directly under field conditions. Rootstock effects on water use also interact with irrigation method. In a multi-year apple trial, the volume of water applied under full sprinkler irrigation was considerably larger than under drip irrigation, while the rootstocks differed markedly in trunk size, yield efficiency, fruit size and maturity (Fallahi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2013). The design did not isolate rootstock effects on transpiration, which illustrates a common difficulty: rootstock comparisons in orchards are usually confounded with differences in canopy size.</w:t>
      </w:r>
    </w:p>
    <w:p w14:paraId="41F8E4EC"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4CED2329"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5.2 Rootstock Control of Transpiration and Drought Strategy</w:t>
      </w:r>
    </w:p>
    <w:p w14:paraId="635DE488" w14:textId="77777777" w:rsidR="001C1531" w:rsidRPr="002F7029" w:rsidRDefault="001C1531" w:rsidP="00B821B1">
      <w:pPr>
        <w:spacing w:after="0" w:line="240" w:lineRule="auto"/>
        <w:contextualSpacing/>
        <w:jc w:val="both"/>
        <w:rPr>
          <w:rFonts w:ascii="Times New Roman" w:eastAsia="Times New Roman" w:hAnsi="Times New Roman" w:cs="Times New Roman"/>
          <w:b/>
          <w:bCs/>
          <w:i/>
          <w:iCs/>
          <w:sz w:val="17"/>
          <w:szCs w:val="17"/>
          <w:lang w:val="en-IN"/>
        </w:rPr>
      </w:pPr>
    </w:p>
    <w:p w14:paraId="406ACD30"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The clearest evidence that rootstocks regulate scion water use comes from grapevine. Using a full-sib rootstock population derived from </w:t>
      </w:r>
      <w:r w:rsidRPr="002F7029">
        <w:rPr>
          <w:rFonts w:ascii="Times New Roman" w:eastAsia="Times New Roman" w:hAnsi="Times New Roman" w:cs="Times New Roman"/>
          <w:bCs/>
          <w:i/>
          <w:iCs/>
          <w:sz w:val="17"/>
          <w:szCs w:val="17"/>
          <w:lang w:val="en-IN"/>
        </w:rPr>
        <w:t>Vitis vinifera</w:t>
      </w:r>
      <w:r w:rsidRPr="002F7029">
        <w:rPr>
          <w:rFonts w:ascii="Times New Roman" w:eastAsia="Times New Roman" w:hAnsi="Times New Roman" w:cs="Times New Roman"/>
          <w:bCs/>
          <w:sz w:val="17"/>
          <w:szCs w:val="17"/>
          <w:lang w:val="en-IN"/>
        </w:rPr>
        <w:t xml:space="preserve"> × </w:t>
      </w:r>
      <w:r w:rsidRPr="002F7029">
        <w:rPr>
          <w:rFonts w:ascii="Times New Roman" w:eastAsia="Times New Roman" w:hAnsi="Times New Roman" w:cs="Times New Roman"/>
          <w:bCs/>
          <w:i/>
          <w:iCs/>
          <w:sz w:val="17"/>
          <w:szCs w:val="17"/>
          <w:lang w:val="en-IN"/>
        </w:rPr>
        <w:t>Vitis riparia</w:t>
      </w:r>
      <w:r w:rsidRPr="002F7029">
        <w:rPr>
          <w:rFonts w:ascii="Times New Roman" w:eastAsia="Times New Roman" w:hAnsi="Times New Roman" w:cs="Times New Roman"/>
          <w:bCs/>
          <w:sz w:val="17"/>
          <w:szCs w:val="17"/>
          <w:lang w:val="en-IN"/>
        </w:rPr>
        <w:t xml:space="preserve"> </w:t>
      </w:r>
      <w:proofErr w:type="spellStart"/>
      <w:r w:rsidRPr="002F7029">
        <w:rPr>
          <w:rFonts w:ascii="Times New Roman" w:eastAsia="Times New Roman" w:hAnsi="Times New Roman" w:cs="Times New Roman"/>
          <w:bCs/>
          <w:sz w:val="17"/>
          <w:szCs w:val="17"/>
          <w:lang w:val="en-IN"/>
        </w:rPr>
        <w:t>Michx</w:t>
      </w:r>
      <w:proofErr w:type="spellEnd"/>
      <w:r w:rsidRPr="002F7029">
        <w:rPr>
          <w:rFonts w:ascii="Times New Roman" w:eastAsia="Times New Roman" w:hAnsi="Times New Roman" w:cs="Times New Roman"/>
          <w:bCs/>
          <w:sz w:val="17"/>
          <w:szCs w:val="17"/>
          <w:lang w:val="en-IN"/>
        </w:rPr>
        <w:t xml:space="preserve">. with a single scion genotype, Marguerit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(2012) detected QTLs for scion transpiration, transpiration efficiency and water extraction capacity that were independent of year and water status, and a distinct genomic region controlling the acclimation of scion transpiration to water deficit. These loci co-localised with genes involved in abscisic acid (ABA) signalling and hydraulic regulation. Reviews of grapevine rootstock–cultivar interactions agree that drought-tolerant rootstocks reduce leaf stomatal conductance and canopy transpiration of the scion, but they also note that there is no standardised method for ranking rootstock drought tolerance and that the signalling mechanisms require further study (Serra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2014; Zhang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2016). Widely used rootstocks such as 110 Richter, 1103 Paulsen and 140 Ruggeri differ in isohydric or </w:t>
      </w:r>
      <w:proofErr w:type="spellStart"/>
      <w:r w:rsidRPr="002F7029">
        <w:rPr>
          <w:rFonts w:ascii="Times New Roman" w:eastAsia="Times New Roman" w:hAnsi="Times New Roman" w:cs="Times New Roman"/>
          <w:bCs/>
          <w:sz w:val="17"/>
          <w:szCs w:val="17"/>
          <w:lang w:val="en-IN"/>
        </w:rPr>
        <w:t>anisohydric</w:t>
      </w:r>
      <w:proofErr w:type="spellEnd"/>
      <w:r w:rsidRPr="002F7029">
        <w:rPr>
          <w:rFonts w:ascii="Times New Roman" w:eastAsia="Times New Roman" w:hAnsi="Times New Roman" w:cs="Times New Roman"/>
          <w:bCs/>
          <w:sz w:val="17"/>
          <w:szCs w:val="17"/>
          <w:lang w:val="en-IN"/>
        </w:rPr>
        <w:t xml:space="preserve"> behaviour, and new rootstock series have been released with the aim of combining drought and heat tolerance with agronomic suitability (Deis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2026). Rhizotron studies showed deeper rooting in drought-tolerant rootstocks such as 110 Richter and Ramsey than in more drought-sensitive genotypes (Fort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2017), yet the spatial and temporal development of rootstock root systems in vineyards remains poorly characterised, and growers exploit only a small part of available rootstock diversity (Fichtl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2023).</w:t>
      </w:r>
    </w:p>
    <w:p w14:paraId="5C4E767D"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lastRenderedPageBreak/>
        <w:t>In citrus, rootstocks express contrasting drought strategies. Rangpur lime (</w:t>
      </w:r>
      <w:r w:rsidRPr="002F7029">
        <w:rPr>
          <w:rFonts w:ascii="Times New Roman" w:eastAsia="Times New Roman" w:hAnsi="Times New Roman" w:cs="Times New Roman"/>
          <w:bCs/>
          <w:i/>
          <w:iCs/>
          <w:sz w:val="17"/>
          <w:szCs w:val="17"/>
          <w:lang w:val="en-IN"/>
        </w:rPr>
        <w:t>Citrus</w:t>
      </w:r>
      <w:r w:rsidRPr="002F7029">
        <w:rPr>
          <w:rFonts w:ascii="Times New Roman" w:eastAsia="Times New Roman" w:hAnsi="Times New Roman" w:cs="Times New Roman"/>
          <w:bCs/>
          <w:sz w:val="17"/>
          <w:szCs w:val="17"/>
          <w:lang w:val="en-IN"/>
        </w:rPr>
        <w:t xml:space="preserve"> × </w:t>
      </w:r>
      <w:proofErr w:type="spellStart"/>
      <w:r w:rsidRPr="002F7029">
        <w:rPr>
          <w:rFonts w:ascii="Times New Roman" w:eastAsia="Times New Roman" w:hAnsi="Times New Roman" w:cs="Times New Roman"/>
          <w:bCs/>
          <w:i/>
          <w:iCs/>
          <w:sz w:val="17"/>
          <w:szCs w:val="17"/>
          <w:lang w:val="en-IN"/>
        </w:rPr>
        <w:t>limonia</w:t>
      </w:r>
      <w:proofErr w:type="spellEnd"/>
      <w:r w:rsidRPr="002F7029">
        <w:rPr>
          <w:rFonts w:ascii="Times New Roman" w:eastAsia="Times New Roman" w:hAnsi="Times New Roman" w:cs="Times New Roman"/>
          <w:bCs/>
          <w:sz w:val="17"/>
          <w:szCs w:val="17"/>
          <w:lang w:val="en-IN"/>
        </w:rPr>
        <w:t xml:space="preserve"> Osbeck) adopted a dehydration-avoidance strategy that maintained growth under severe drought, whereas Sunki Maravilha mandarin adopted a dehydration-tolerance strategy oriented to survival, with higher concentrations of ABA and salicylic acid in leaves and roots (Santana-Vieira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2016). In </w:t>
      </w:r>
      <w:r w:rsidRPr="002F7029">
        <w:rPr>
          <w:rFonts w:ascii="Times New Roman" w:eastAsia="Times New Roman" w:hAnsi="Times New Roman" w:cs="Times New Roman"/>
          <w:bCs/>
          <w:i/>
          <w:iCs/>
          <w:sz w:val="17"/>
          <w:szCs w:val="17"/>
          <w:lang w:val="en-IN"/>
        </w:rPr>
        <w:t>Prunus</w:t>
      </w:r>
      <w:r w:rsidRPr="002F7029">
        <w:rPr>
          <w:rFonts w:ascii="Times New Roman" w:eastAsia="Times New Roman" w:hAnsi="Times New Roman" w:cs="Times New Roman"/>
          <w:bCs/>
          <w:sz w:val="17"/>
          <w:szCs w:val="17"/>
          <w:lang w:val="en-IN"/>
        </w:rPr>
        <w:t>, an interspecific hybrid rootstock classified as drought-tolerant delayed the decline in transpiration and increased whole-plant water-use efficiency under a 35-day deficit, while the sensitive rootstock showed early transpiration decline and reduced aquaporin expression, yet the sensitive rootstock produced more biomass during the 44-day recovery period (</w:t>
      </w:r>
      <w:proofErr w:type="spellStart"/>
      <w:r w:rsidRPr="002F7029">
        <w:rPr>
          <w:rFonts w:ascii="Times New Roman" w:eastAsia="Times New Roman" w:hAnsi="Times New Roman" w:cs="Times New Roman"/>
          <w:bCs/>
          <w:sz w:val="17"/>
          <w:szCs w:val="17"/>
          <w:lang w:val="en-IN"/>
        </w:rPr>
        <w:t>Opazo</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2020). This last result is important because it shows that rankings of rootstock tolerance can reverse between stress and recovery phases, so that a rootstock that conserves water during drought may not be the one that performs best across a season with intermittent stress.</w:t>
      </w:r>
    </w:p>
    <w:p w14:paraId="482CA465"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49248143"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debate over polyploid rootstocks illustrates how experimental design can determine conclusions. Tetraploid Rangpur lime grafted with sweet orange was much more tolerant of water deficit than its diploid counterpart, an effect attributed to enhanced constitutive production of ABA in roots (</w:t>
      </w:r>
      <w:proofErr w:type="spellStart"/>
      <w:r w:rsidRPr="002F7029">
        <w:rPr>
          <w:rFonts w:ascii="Times New Roman" w:eastAsia="Times New Roman" w:hAnsi="Times New Roman" w:cs="Times New Roman"/>
          <w:bCs/>
          <w:sz w:val="17"/>
          <w:szCs w:val="17"/>
          <w:lang w:val="en-IN"/>
        </w:rPr>
        <w:t>Allario</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2013). When diploid and tetraploid Sunki rootstocks were compared both in isolation and in competition for the same soil water, the tetraploid took longer to show symptoms in isolation, but this advantage disappeared under competition, and tetraploids showed higher hydrogen peroxide production in the isolated experiments (da Silva Costa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2025). The authors concluded that diploid and tetraploid rootstocks must be evaluated under the same soil moisture conditions to approximate field conditions. The likely explanation for the discrepancy is that a smaller transpiring canopy or slower water use delays the onset of stress in an individual pot without conferring tolerance per se. Confidence in polyploidy as a route to drought resilience is therefore low until field evidence becomes available.</w:t>
      </w:r>
    </w:p>
    <w:p w14:paraId="0BBBFC88"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187FB7BE"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5.3 Ion Exclusion and Tolerance of Marginal Irrigation Water</w:t>
      </w:r>
    </w:p>
    <w:p w14:paraId="5575D315" w14:textId="77777777" w:rsidR="001C1531" w:rsidRPr="002F7029" w:rsidRDefault="001C1531" w:rsidP="00B821B1">
      <w:pPr>
        <w:spacing w:after="0" w:line="240" w:lineRule="auto"/>
        <w:contextualSpacing/>
        <w:jc w:val="both"/>
        <w:rPr>
          <w:rFonts w:ascii="Times New Roman" w:eastAsia="Times New Roman" w:hAnsi="Times New Roman" w:cs="Times New Roman"/>
          <w:b/>
          <w:bCs/>
          <w:i/>
          <w:iCs/>
          <w:sz w:val="17"/>
          <w:szCs w:val="17"/>
          <w:lang w:val="en-IN"/>
        </w:rPr>
      </w:pPr>
    </w:p>
    <w:p w14:paraId="76B8A3AD"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Salinity tolerance conferred by rootstocks is among the best-established rootstock functions. In grapevine, tolerance is associated with exclusion of chloride from the shoot, the rate-limiting step being the transfer of chloride from the root </w:t>
      </w:r>
      <w:proofErr w:type="spellStart"/>
      <w:r w:rsidRPr="002F7029">
        <w:rPr>
          <w:rFonts w:ascii="Times New Roman" w:eastAsia="Times New Roman" w:hAnsi="Times New Roman" w:cs="Times New Roman"/>
          <w:bCs/>
          <w:sz w:val="17"/>
          <w:szCs w:val="17"/>
          <w:lang w:val="en-IN"/>
        </w:rPr>
        <w:t>symplast</w:t>
      </w:r>
      <w:proofErr w:type="spellEnd"/>
      <w:r w:rsidRPr="002F7029">
        <w:rPr>
          <w:rFonts w:ascii="Times New Roman" w:eastAsia="Times New Roman" w:hAnsi="Times New Roman" w:cs="Times New Roman"/>
          <w:bCs/>
          <w:sz w:val="17"/>
          <w:szCs w:val="17"/>
          <w:lang w:val="en-IN"/>
        </w:rPr>
        <w:t xml:space="preserve"> to the xylem. Transcriptomic comparison of the chloride-excluding rootstock 140 Ruggeri, the chloride-including genotype K51-40 and Cabernet Sauvignon suggested that the exclusion mechanism is constitutive rather than stress-induced and identified candidate anion channels and transporters, although no single chloride transporter was confirmed (Henderson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2014). Rootstocks that exclude chloride can protect scions from accumulating harmful concentrations in shoots and berries (Zhou-Tsang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2021). In citrus seedlings, Cleopatra mandarin behaved as a chloride excluder and Carrizo citrange as a chloride accumulator, although Carrizo accumulated less sodium in leaves (García-Sánchez &amp; Syvertsen, 2006), indicating that exclusion of one ion does not guarantee exclusion of another.</w:t>
      </w:r>
    </w:p>
    <w:p w14:paraId="2D3E09E3"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246C11C5"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Rootstock effects become critical when growers turn to marginal water. In 'Hass' avocado, irrigation with water of electrical conductivity 1.5 </w:t>
      </w:r>
      <w:proofErr w:type="spellStart"/>
      <w:r w:rsidRPr="002F7029">
        <w:rPr>
          <w:rFonts w:ascii="Times New Roman" w:eastAsia="Times New Roman" w:hAnsi="Times New Roman" w:cs="Times New Roman"/>
          <w:bCs/>
          <w:sz w:val="17"/>
          <w:szCs w:val="17"/>
          <w:lang w:val="en-IN"/>
        </w:rPr>
        <w:t>dS</w:t>
      </w:r>
      <w:proofErr w:type="spellEnd"/>
      <w:r w:rsidRPr="002F7029">
        <w:rPr>
          <w:rFonts w:ascii="Times New Roman" w:eastAsia="Times New Roman" w:hAnsi="Times New Roman" w:cs="Times New Roman"/>
          <w:bCs/>
          <w:sz w:val="17"/>
          <w:szCs w:val="17"/>
          <w:lang w:val="en-IN"/>
        </w:rPr>
        <w:t xml:space="preserve"> m⁻¹, compared with 0.65 </w:t>
      </w:r>
      <w:proofErr w:type="spellStart"/>
      <w:r w:rsidRPr="002F7029">
        <w:rPr>
          <w:rFonts w:ascii="Times New Roman" w:eastAsia="Times New Roman" w:hAnsi="Times New Roman" w:cs="Times New Roman"/>
          <w:bCs/>
          <w:sz w:val="17"/>
          <w:szCs w:val="17"/>
          <w:lang w:val="en-IN"/>
        </w:rPr>
        <w:t>dS</w:t>
      </w:r>
      <w:proofErr w:type="spellEnd"/>
      <w:r w:rsidRPr="002F7029">
        <w:rPr>
          <w:rFonts w:ascii="Times New Roman" w:eastAsia="Times New Roman" w:hAnsi="Times New Roman" w:cs="Times New Roman"/>
          <w:bCs/>
          <w:sz w:val="17"/>
          <w:szCs w:val="17"/>
          <w:lang w:val="en-IN"/>
        </w:rPr>
        <w:t xml:space="preserve"> m⁻¹, increased canopy damage by 44%, halved survival and reduced yield by more than 63%, with damage attributed to chloride accumulation rather than to water stress, and several rootstocks performed better than others (Acosta-Rangel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2019). For lemon (</w:t>
      </w:r>
      <w:r w:rsidRPr="002F7029">
        <w:rPr>
          <w:rFonts w:ascii="Times New Roman" w:eastAsia="Times New Roman" w:hAnsi="Times New Roman" w:cs="Times New Roman"/>
          <w:bCs/>
          <w:i/>
          <w:iCs/>
          <w:sz w:val="17"/>
          <w:szCs w:val="17"/>
          <w:lang w:val="en-IN"/>
        </w:rPr>
        <w:t>Citrus</w:t>
      </w:r>
      <w:r w:rsidRPr="002F7029">
        <w:rPr>
          <w:rFonts w:ascii="Times New Roman" w:eastAsia="Times New Roman" w:hAnsi="Times New Roman" w:cs="Times New Roman"/>
          <w:bCs/>
          <w:sz w:val="17"/>
          <w:szCs w:val="17"/>
          <w:lang w:val="en-IN"/>
        </w:rPr>
        <w:t xml:space="preserve"> × </w:t>
      </w:r>
      <w:r w:rsidRPr="002F7029">
        <w:rPr>
          <w:rFonts w:ascii="Times New Roman" w:eastAsia="Times New Roman" w:hAnsi="Times New Roman" w:cs="Times New Roman"/>
          <w:bCs/>
          <w:i/>
          <w:iCs/>
          <w:sz w:val="17"/>
          <w:szCs w:val="17"/>
          <w:lang w:val="en-IN"/>
        </w:rPr>
        <w:t>limon</w:t>
      </w:r>
      <w:r w:rsidRPr="002F7029">
        <w:rPr>
          <w:rFonts w:ascii="Times New Roman" w:eastAsia="Times New Roman" w:hAnsi="Times New Roman" w:cs="Times New Roman"/>
          <w:bCs/>
          <w:sz w:val="17"/>
          <w:szCs w:val="17"/>
          <w:lang w:val="en-IN"/>
        </w:rPr>
        <w:t xml:space="preserve"> (L.) Osbeck) trees irrigated with desalinated seawater at high temperature, the response to chloride, sodium and boron depended on the rootstock: trees on sour </w:t>
      </w:r>
      <w:proofErr w:type="gramStart"/>
      <w:r w:rsidRPr="002F7029">
        <w:rPr>
          <w:rFonts w:ascii="Times New Roman" w:eastAsia="Times New Roman" w:hAnsi="Times New Roman" w:cs="Times New Roman"/>
          <w:bCs/>
          <w:sz w:val="17"/>
          <w:szCs w:val="17"/>
          <w:lang w:val="en-IN"/>
        </w:rPr>
        <w:t>orange maintained</w:t>
      </w:r>
      <w:proofErr w:type="gramEnd"/>
      <w:r w:rsidRPr="002F7029">
        <w:rPr>
          <w:rFonts w:ascii="Times New Roman" w:eastAsia="Times New Roman" w:hAnsi="Times New Roman" w:cs="Times New Roman"/>
          <w:bCs/>
          <w:sz w:val="17"/>
          <w:szCs w:val="17"/>
          <w:lang w:val="en-IN"/>
        </w:rPr>
        <w:t xml:space="preserve"> growth and did not reach chloride phytotoxicity thresholds but accumulated more boron, whereas growth on </w:t>
      </w:r>
      <w:r w:rsidRPr="002F7029">
        <w:rPr>
          <w:rFonts w:ascii="Times New Roman" w:eastAsia="Times New Roman" w:hAnsi="Times New Roman" w:cs="Times New Roman"/>
          <w:bCs/>
          <w:i/>
          <w:iCs/>
          <w:sz w:val="17"/>
          <w:szCs w:val="17"/>
          <w:lang w:val="en-IN"/>
        </w:rPr>
        <w:t>Citrus macrophylla</w:t>
      </w:r>
      <w:r w:rsidRPr="002F7029">
        <w:rPr>
          <w:rFonts w:ascii="Times New Roman" w:eastAsia="Times New Roman" w:hAnsi="Times New Roman" w:cs="Times New Roman"/>
          <w:bCs/>
          <w:sz w:val="17"/>
          <w:szCs w:val="17"/>
          <w:lang w:val="en-IN"/>
        </w:rPr>
        <w:t xml:space="preserve"> Wester declined in association with chloride accumulation (Navarro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2022). These studies show that tolerance of marginal water is ion-specific and rootstock-specific, and that a rootstock chosen for chloride exclusion may expose the scion to another toxicity.</w:t>
      </w:r>
    </w:p>
    <w:p w14:paraId="09E959FA" w14:textId="77777777" w:rsidR="001C1531"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2BDE4A3A" w14:textId="77777777" w:rsidR="00903213" w:rsidRPr="002F7029" w:rsidRDefault="00903213" w:rsidP="00B821B1">
      <w:pPr>
        <w:pStyle w:val="Heading4"/>
        <w:keepNext w:val="0"/>
        <w:keepLines w:val="0"/>
        <w:rPr>
          <w:rFonts w:eastAsia="Times New Roman"/>
          <w:lang w:val="en-IN"/>
        </w:rPr>
      </w:pPr>
      <w:r w:rsidRPr="002F7029">
        <w:rPr>
          <w:rFonts w:eastAsia="Times New Roman"/>
          <w:lang w:val="en-IN"/>
        </w:rPr>
        <w:t>5.4 Rootstock Effects Under Combined Heat and Drought</w:t>
      </w:r>
    </w:p>
    <w:p w14:paraId="09D24D25" w14:textId="77777777" w:rsidR="00903213" w:rsidRPr="004F6249" w:rsidRDefault="00903213" w:rsidP="00B821B1">
      <w:pPr>
        <w:spacing w:after="0" w:line="240" w:lineRule="auto"/>
        <w:contextualSpacing/>
        <w:jc w:val="both"/>
        <w:rPr>
          <w:rFonts w:ascii="Times New Roman" w:eastAsia="Times New Roman" w:hAnsi="Times New Roman" w:cs="Times New Roman"/>
          <w:b/>
          <w:bCs/>
          <w:i/>
          <w:iCs/>
          <w:sz w:val="16"/>
          <w:szCs w:val="16"/>
          <w:lang w:val="en-IN"/>
        </w:rPr>
      </w:pPr>
    </w:p>
    <w:p w14:paraId="63E64627" w14:textId="77777777" w:rsidR="00903213" w:rsidRPr="002F7029" w:rsidRDefault="00903213"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Combined stresses can reorder rootstock rankings. Carrizo citrange is more tolerant than Cleopatra mandarin of combined heat and drought, partly because of stronger activation of antioxidant defences, and reciprocal grafting showed that this antioxidant response is transmissible from rootstock to scion (</w:t>
      </w:r>
      <w:proofErr w:type="spellStart"/>
      <w:r w:rsidRPr="002F7029">
        <w:rPr>
          <w:rFonts w:ascii="Times New Roman" w:eastAsia="Times New Roman" w:hAnsi="Times New Roman" w:cs="Times New Roman"/>
          <w:bCs/>
          <w:sz w:val="17"/>
          <w:szCs w:val="17"/>
          <w:lang w:val="en-IN"/>
        </w:rPr>
        <w:t>Balfagón</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2022; </w:t>
      </w:r>
      <w:proofErr w:type="spellStart"/>
      <w:r w:rsidRPr="002F7029">
        <w:rPr>
          <w:rFonts w:ascii="Times New Roman" w:eastAsia="Times New Roman" w:hAnsi="Times New Roman" w:cs="Times New Roman"/>
          <w:bCs/>
          <w:sz w:val="17"/>
          <w:szCs w:val="17"/>
          <w:lang w:val="en-IN"/>
        </w:rPr>
        <w:t>Zandalinas</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2016). Cleopatra mandarin, however, is the better chloride excluder of the two genotypes (García-Sánchez &amp; Syvertsen, 2006). No single citrus rootstock emerges as tolerant of every climate hazard, and rootstock choice must reflect the hazard profile of each site. The citrus studies were conducted on young potted plants under controlled conditions, so the persistence of these effects in mature orchards remains to be confirmed.</w:t>
      </w:r>
    </w:p>
    <w:p w14:paraId="141E2B79" w14:textId="77777777" w:rsidR="00903213" w:rsidRPr="004F6249" w:rsidRDefault="00903213" w:rsidP="00B821B1">
      <w:pPr>
        <w:spacing w:after="0" w:line="240" w:lineRule="auto"/>
        <w:contextualSpacing/>
        <w:jc w:val="both"/>
        <w:rPr>
          <w:rFonts w:ascii="Times New Roman" w:eastAsia="Times New Roman" w:hAnsi="Times New Roman" w:cs="Times New Roman"/>
          <w:bCs/>
          <w:sz w:val="16"/>
          <w:szCs w:val="16"/>
          <w:lang w:val="en-IN"/>
        </w:rPr>
      </w:pPr>
    </w:p>
    <w:p w14:paraId="64768A9C" w14:textId="77777777" w:rsidR="00903213" w:rsidRPr="002F7029" w:rsidRDefault="00903213" w:rsidP="00B821B1">
      <w:pPr>
        <w:pStyle w:val="Heading4"/>
        <w:keepNext w:val="0"/>
        <w:keepLines w:val="0"/>
        <w:rPr>
          <w:rFonts w:eastAsia="Times New Roman"/>
          <w:lang w:val="en-IN"/>
        </w:rPr>
      </w:pPr>
      <w:r w:rsidRPr="002F7029">
        <w:rPr>
          <w:rFonts w:eastAsia="Times New Roman"/>
          <w:lang w:val="en-IN"/>
        </w:rPr>
        <w:t>5.5 Rootstock Effects on Phenology, Quality and Gene Expression</w:t>
      </w:r>
    </w:p>
    <w:p w14:paraId="32B071B7" w14:textId="77777777" w:rsidR="00903213" w:rsidRPr="004F6249" w:rsidRDefault="00903213" w:rsidP="00B821B1">
      <w:pPr>
        <w:spacing w:after="0" w:line="240" w:lineRule="auto"/>
        <w:contextualSpacing/>
        <w:jc w:val="both"/>
        <w:rPr>
          <w:rFonts w:ascii="Times New Roman" w:eastAsia="Times New Roman" w:hAnsi="Times New Roman" w:cs="Times New Roman"/>
          <w:b/>
          <w:bCs/>
          <w:i/>
          <w:iCs/>
          <w:sz w:val="16"/>
          <w:szCs w:val="16"/>
          <w:lang w:val="en-IN"/>
        </w:rPr>
      </w:pPr>
    </w:p>
    <w:p w14:paraId="36075AAA" w14:textId="77777777" w:rsidR="00903213" w:rsidRPr="002F7029" w:rsidRDefault="00903213"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Rootstocks also influence traits that are not directly related to water and ions. In a grapevine experiment combining three rootstocks and three irrigation treatments over two years, the largest source of variation in scion leaf shape was the interaction between rootstock and irrigation, and rootstock-specific gene expression patterns were detected in scion leaves (Migicovsky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2019). A three-year field study found that rootstock influence on scion gene expression was tissue- and time-dependent, appeared mainly in leaves during a single year and was driven by interaction with the local environment (Harris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2023). More than 3000 genes were found to exchange messenger RNA across graft junctions in grapevine, but field-grown mature grafts transmitted far fewer mobile transcripts than young grafts grown in vitro, and most transmission rates were low (Yang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2015). A recent perspective proposed that rootstocks may modulate alternate bearing through long-distance hormonal and epigenetic signalling (Carraro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2026). In apple, Geneva rootstocks grown under severe replant conditions in southern Brazil maintained their relative differences in vigour and fruit quality, and the less vigorous 'G.213' advanced maturity and achieved higher yield efficiency (</w:t>
      </w:r>
      <w:proofErr w:type="spellStart"/>
      <w:r w:rsidRPr="002F7029">
        <w:rPr>
          <w:rFonts w:ascii="Times New Roman" w:eastAsia="Times New Roman" w:hAnsi="Times New Roman" w:cs="Times New Roman"/>
          <w:bCs/>
          <w:sz w:val="17"/>
          <w:szCs w:val="17"/>
          <w:lang w:val="en-IN"/>
        </w:rPr>
        <w:t>Rufato</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2021).</w:t>
      </w:r>
    </w:p>
    <w:p w14:paraId="532DF5C9" w14:textId="77777777" w:rsidR="00903213" w:rsidRPr="004F6249" w:rsidRDefault="00903213" w:rsidP="00B821B1">
      <w:pPr>
        <w:spacing w:after="0" w:line="240" w:lineRule="auto"/>
        <w:contextualSpacing/>
        <w:jc w:val="both"/>
        <w:rPr>
          <w:rFonts w:ascii="Times New Roman" w:eastAsia="Times New Roman" w:hAnsi="Times New Roman" w:cs="Times New Roman"/>
          <w:bCs/>
          <w:sz w:val="16"/>
          <w:szCs w:val="16"/>
          <w:lang w:val="en-IN"/>
        </w:rPr>
      </w:pPr>
    </w:p>
    <w:p w14:paraId="253B0B8B" w14:textId="77777777" w:rsidR="00903213" w:rsidRDefault="00903213"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Taken together, these findings indicate that rootstock effects on scion physiology are real but often conditional on environment and developmental stage. Molecular signalling across the graft union is well documented in principle, but its contribution to climate-relevant field performance has not been quantified. The rootstock effect on phenology, which would be especially valuable for chill and frost adaptation, is the least well characterised of these functions in the literature reviewed.</w:t>
      </w:r>
    </w:p>
    <w:p w14:paraId="7BA7C4CD" w14:textId="77777777" w:rsidR="00903213" w:rsidRPr="002F7029" w:rsidRDefault="00903213" w:rsidP="00B821B1">
      <w:pPr>
        <w:pStyle w:val="Heading4"/>
        <w:keepNext w:val="0"/>
        <w:keepLines w:val="0"/>
        <w:rPr>
          <w:rFonts w:eastAsia="Times New Roman"/>
          <w:lang w:val="en-IN"/>
        </w:rPr>
      </w:pPr>
      <w:r w:rsidRPr="002F7029">
        <w:rPr>
          <w:rFonts w:eastAsia="Times New Roman"/>
          <w:lang w:val="en-IN"/>
        </w:rPr>
        <w:lastRenderedPageBreak/>
        <w:t>5.6 Constraints on Rootstock Breeding and Deployment</w:t>
      </w:r>
    </w:p>
    <w:p w14:paraId="6E35ECBF" w14:textId="77777777" w:rsidR="00903213" w:rsidRPr="004F6249" w:rsidRDefault="00903213" w:rsidP="00B821B1">
      <w:pPr>
        <w:spacing w:after="0" w:line="240" w:lineRule="auto"/>
        <w:contextualSpacing/>
        <w:jc w:val="both"/>
        <w:rPr>
          <w:rFonts w:ascii="Times New Roman" w:eastAsia="Times New Roman" w:hAnsi="Times New Roman" w:cs="Times New Roman"/>
          <w:b/>
          <w:bCs/>
          <w:i/>
          <w:iCs/>
          <w:sz w:val="16"/>
          <w:szCs w:val="16"/>
          <w:lang w:val="en-IN"/>
        </w:rPr>
      </w:pPr>
    </w:p>
    <w:p w14:paraId="25C85A64" w14:textId="77777777" w:rsidR="00903213" w:rsidRPr="002F7029" w:rsidRDefault="00903213"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A review of apple rootstock breeding identified parent selection, marker-assisted breeding, root-configuration-guided breeding, apomictic resources and genetic engineering as the main avenues for improvement, alongside the regional matching of rootstocks to production environments (Wang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2019). Graft compatibility remains a prerequisite that limits the use of distantly related donors (Rasool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Evaluating rootstocks for drought or salinity tolerance requires multi-year field trials with several scions, because rootstock–scion and rootstock–environment interactions are pervasive (Harris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2023; </w:t>
      </w:r>
      <w:proofErr w:type="spellStart"/>
      <w:r w:rsidRPr="002F7029">
        <w:rPr>
          <w:rFonts w:ascii="Times New Roman" w:eastAsia="Times New Roman" w:hAnsi="Times New Roman" w:cs="Times New Roman"/>
          <w:bCs/>
          <w:sz w:val="17"/>
          <w:szCs w:val="17"/>
          <w:lang w:val="en-IN"/>
        </w:rPr>
        <w:t>Opazo</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Root architectural modelling combined with vineyard water-balance models has been proposed as a way to predict rootstock suitability for future climates and to transfer existing knowledge into practice (Fichtl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2023), but such models have not yet been validated across environments.</w:t>
      </w:r>
    </w:p>
    <w:p w14:paraId="4D14E569" w14:textId="77777777" w:rsidR="00903213" w:rsidRDefault="00903213" w:rsidP="00B821B1">
      <w:pPr>
        <w:spacing w:after="0" w:line="240" w:lineRule="auto"/>
        <w:contextualSpacing/>
        <w:jc w:val="both"/>
        <w:rPr>
          <w:rFonts w:ascii="Times New Roman" w:eastAsia="Times New Roman" w:hAnsi="Times New Roman" w:cs="Times New Roman"/>
          <w:bCs/>
          <w:sz w:val="17"/>
          <w:szCs w:val="17"/>
          <w:lang w:val="en-IN"/>
        </w:rPr>
      </w:pPr>
    </w:p>
    <w:p w14:paraId="155FB047" w14:textId="77777777" w:rsidR="00903213" w:rsidRPr="002F7029" w:rsidRDefault="00903213"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principal rootstock mechanisms relevant to climate adaptation are summarised in Table 4 together with the scale of the supporting evidence. The comparison shows that hydraulic vigour control and ion exclusion are supported by field-relevant evidence, whereas polyploid drought tolerance, transmissible stress signalling and rootstock regulation of phenology rest mainly on controlled-environment studies or conceptual proposals.</w:t>
      </w:r>
    </w:p>
    <w:p w14:paraId="659B6432" w14:textId="77777777" w:rsidR="00903213" w:rsidRDefault="00903213" w:rsidP="00B821B1">
      <w:pPr>
        <w:spacing w:after="0" w:line="240" w:lineRule="auto"/>
        <w:contextualSpacing/>
        <w:jc w:val="both"/>
        <w:rPr>
          <w:rFonts w:ascii="Times New Roman" w:eastAsia="Times New Roman" w:hAnsi="Times New Roman" w:cs="Times New Roman"/>
          <w:bCs/>
          <w:sz w:val="17"/>
          <w:szCs w:val="17"/>
          <w:lang w:val="en-IN"/>
        </w:rPr>
      </w:pPr>
    </w:p>
    <w:p w14:paraId="455370AF" w14:textId="77777777" w:rsidR="004F6249" w:rsidRPr="004F6249" w:rsidRDefault="004F6249" w:rsidP="00B821B1">
      <w:pPr>
        <w:spacing w:after="0" w:line="240" w:lineRule="auto"/>
        <w:contextualSpacing/>
        <w:jc w:val="center"/>
        <w:rPr>
          <w:rFonts w:ascii="Times New Roman" w:eastAsia="Times New Roman" w:hAnsi="Times New Roman" w:cs="Times New Roman"/>
          <w:b/>
          <w:bCs/>
          <w:sz w:val="17"/>
          <w:szCs w:val="17"/>
          <w:lang w:val="en-IN"/>
        </w:rPr>
      </w:pPr>
      <w:r w:rsidRPr="004F6249">
        <w:rPr>
          <w:rFonts w:ascii="Times New Roman" w:eastAsia="Times New Roman" w:hAnsi="Times New Roman" w:cs="Times New Roman"/>
          <w:b/>
          <w:bCs/>
          <w:sz w:val="17"/>
          <w:szCs w:val="17"/>
          <w:lang w:val="en-IN"/>
        </w:rPr>
        <w:t>Table 4. Rootstock mechanisms relevant to climate adaptation in fruit crops, the scale of the supporting evidence and the confidence attached to field application</w:t>
      </w:r>
    </w:p>
    <w:p w14:paraId="2D16D0E7" w14:textId="77777777" w:rsidR="004F6249" w:rsidRPr="002F7029" w:rsidRDefault="004F6249" w:rsidP="00B821B1">
      <w:pPr>
        <w:spacing w:after="0" w:line="240" w:lineRule="auto"/>
        <w:contextualSpacing/>
        <w:jc w:val="both"/>
        <w:rPr>
          <w:rFonts w:ascii="Times New Roman" w:eastAsia="Times New Roman" w:hAnsi="Times New Roman" w:cs="Times New Roman"/>
          <w:bCs/>
          <w:sz w:val="17"/>
          <w:szCs w:val="17"/>
          <w:lang w:val="en-IN"/>
        </w:rPr>
      </w:pPr>
    </w:p>
    <w:tbl>
      <w:tblPr>
        <w:tblStyle w:val="TableGrid"/>
        <w:tblW w:w="4875" w:type="pct"/>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253"/>
        <w:gridCol w:w="2250"/>
        <w:gridCol w:w="1070"/>
        <w:gridCol w:w="1090"/>
        <w:gridCol w:w="1860"/>
        <w:gridCol w:w="1491"/>
      </w:tblGrid>
      <w:tr w:rsidR="004F6249" w:rsidRPr="002F7029" w14:paraId="09218157" w14:textId="77777777" w:rsidTr="00903213">
        <w:trPr>
          <w:trHeight w:val="20"/>
          <w:jc w:val="center"/>
        </w:trPr>
        <w:tc>
          <w:tcPr>
            <w:tcW w:w="1253" w:type="dxa"/>
          </w:tcPr>
          <w:p w14:paraId="5F58F3E6"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Mechanism</w:t>
            </w:r>
          </w:p>
        </w:tc>
        <w:tc>
          <w:tcPr>
            <w:tcW w:w="2250" w:type="dxa"/>
          </w:tcPr>
          <w:p w14:paraId="7291B16B"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Representative evidence</w:t>
            </w:r>
          </w:p>
        </w:tc>
        <w:tc>
          <w:tcPr>
            <w:tcW w:w="1070" w:type="dxa"/>
          </w:tcPr>
          <w:p w14:paraId="5A50412B"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Crops</w:t>
            </w:r>
          </w:p>
        </w:tc>
        <w:tc>
          <w:tcPr>
            <w:tcW w:w="1090" w:type="dxa"/>
          </w:tcPr>
          <w:p w14:paraId="53E0ECA8"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Experimental scale</w:t>
            </w:r>
          </w:p>
        </w:tc>
        <w:tc>
          <w:tcPr>
            <w:tcW w:w="1860" w:type="dxa"/>
          </w:tcPr>
          <w:p w14:paraId="76E3C14B"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Confidence and main limitations</w:t>
            </w:r>
          </w:p>
        </w:tc>
        <w:tc>
          <w:tcPr>
            <w:tcW w:w="1491" w:type="dxa"/>
          </w:tcPr>
          <w:p w14:paraId="1A7B5967"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Supporting references</w:t>
            </w:r>
          </w:p>
        </w:tc>
      </w:tr>
      <w:tr w:rsidR="004F6249" w:rsidRPr="002F7029" w14:paraId="7EE5CA80" w14:textId="77777777" w:rsidTr="00903213">
        <w:trPr>
          <w:trHeight w:val="20"/>
          <w:jc w:val="center"/>
        </w:trPr>
        <w:tc>
          <w:tcPr>
            <w:tcW w:w="1253" w:type="dxa"/>
          </w:tcPr>
          <w:p w14:paraId="656B8D91"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Hydraulic restriction and vigour control</w:t>
            </w:r>
          </w:p>
        </w:tc>
        <w:tc>
          <w:tcPr>
            <w:tcW w:w="2250" w:type="dxa"/>
          </w:tcPr>
          <w:p w14:paraId="6A22DEE5"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Lower leaf-specific hydraulic conductance and smaller xylem vessels in dwarfing rootstocks; graft-union resistance in M.9</w:t>
            </w:r>
          </w:p>
        </w:tc>
        <w:tc>
          <w:tcPr>
            <w:tcW w:w="1070" w:type="dxa"/>
          </w:tcPr>
          <w:p w14:paraId="56CDF49F"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Peach, apple</w:t>
            </w:r>
          </w:p>
        </w:tc>
        <w:tc>
          <w:tcPr>
            <w:tcW w:w="1090" w:type="dxa"/>
          </w:tcPr>
          <w:p w14:paraId="362E5426"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Field trees and anatomical analyses</w:t>
            </w:r>
          </w:p>
        </w:tc>
        <w:tc>
          <w:tcPr>
            <w:tcW w:w="1860" w:type="dxa"/>
          </w:tcPr>
          <w:p w14:paraId="2A5F0E39" w14:textId="77777777" w:rsidR="004F6249" w:rsidRPr="002F7029" w:rsidRDefault="004F6249" w:rsidP="00B821B1">
            <w:pPr>
              <w:ind w:left="-39" w:right="-65"/>
              <w:contextualSpacing/>
              <w:rPr>
                <w:rFonts w:ascii="Times New Roman" w:eastAsia="Times New Roman" w:hAnsi="Times New Roman"/>
                <w:bCs/>
                <w:sz w:val="17"/>
                <w:szCs w:val="17"/>
                <w:lang w:val="en-IN"/>
              </w:rPr>
            </w:pPr>
            <w:proofErr w:type="gramStart"/>
            <w:r w:rsidRPr="002F7029">
              <w:rPr>
                <w:rFonts w:ascii="Times New Roman" w:eastAsia="Times New Roman" w:hAnsi="Times New Roman"/>
                <w:bCs/>
                <w:sz w:val="17"/>
                <w:szCs w:val="17"/>
                <w:lang w:val="en-IN"/>
              </w:rPr>
              <w:t>Well</w:t>
            </w:r>
            <w:proofErr w:type="gramEnd"/>
            <w:r w:rsidRPr="002F7029">
              <w:rPr>
                <w:rFonts w:ascii="Times New Roman" w:eastAsia="Times New Roman" w:hAnsi="Times New Roman"/>
                <w:bCs/>
                <w:sz w:val="17"/>
                <w:szCs w:val="17"/>
                <w:lang w:val="en-IN"/>
              </w:rPr>
              <w:t xml:space="preserve"> supported for peach; inconsistent across sites for apple; effect on heat and drought vulnerability untested</w:t>
            </w:r>
          </w:p>
        </w:tc>
        <w:tc>
          <w:tcPr>
            <w:tcW w:w="1491" w:type="dxa"/>
          </w:tcPr>
          <w:p w14:paraId="1BB16113"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Cohen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(2007); Solari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 xml:space="preserve">(2006); </w:t>
            </w:r>
            <w:proofErr w:type="spellStart"/>
            <w:r w:rsidRPr="002F7029">
              <w:rPr>
                <w:rFonts w:ascii="Times New Roman" w:eastAsia="Times New Roman" w:hAnsi="Times New Roman"/>
                <w:bCs/>
                <w:sz w:val="17"/>
                <w:szCs w:val="17"/>
                <w:lang w:val="en-IN"/>
              </w:rPr>
              <w:t>Tombesi</w:t>
            </w:r>
            <w:proofErr w:type="spellEnd"/>
            <w:r w:rsidRPr="002F7029">
              <w:rPr>
                <w:rFonts w:ascii="Times New Roman" w:eastAsia="Times New Roman" w:hAnsi="Times New Roman"/>
                <w:bCs/>
                <w:sz w:val="17"/>
                <w:szCs w:val="17"/>
                <w:lang w:val="en-IN"/>
              </w:rPr>
              <w:t xml:space="preserve">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(2010)</w:t>
            </w:r>
          </w:p>
        </w:tc>
      </w:tr>
      <w:tr w:rsidR="004F6249" w:rsidRPr="002F7029" w14:paraId="13C5C5DC" w14:textId="77777777" w:rsidTr="00903213">
        <w:trPr>
          <w:trHeight w:val="20"/>
          <w:jc w:val="center"/>
        </w:trPr>
        <w:tc>
          <w:tcPr>
            <w:tcW w:w="1253" w:type="dxa"/>
          </w:tcPr>
          <w:p w14:paraId="50967DF8"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Genetic control of scion transpiration</w:t>
            </w:r>
          </w:p>
        </w:tc>
        <w:tc>
          <w:tcPr>
            <w:tcW w:w="2250" w:type="dxa"/>
          </w:tcPr>
          <w:p w14:paraId="386B7B78"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Rootstock QTLs for transpiration, transpiration efficiency and acclimation to deficit</w:t>
            </w:r>
          </w:p>
        </w:tc>
        <w:tc>
          <w:tcPr>
            <w:tcW w:w="1070" w:type="dxa"/>
          </w:tcPr>
          <w:p w14:paraId="0E6C8569"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Grapevine</w:t>
            </w:r>
          </w:p>
        </w:tc>
        <w:tc>
          <w:tcPr>
            <w:tcW w:w="1090" w:type="dxa"/>
          </w:tcPr>
          <w:p w14:paraId="7446C650"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Potted plants over three years</w:t>
            </w:r>
          </w:p>
        </w:tc>
        <w:tc>
          <w:tcPr>
            <w:tcW w:w="1860" w:type="dxa"/>
          </w:tcPr>
          <w:p w14:paraId="5A32DB9B" w14:textId="77777777" w:rsidR="004F6249" w:rsidRPr="002F7029" w:rsidRDefault="004F6249" w:rsidP="00B821B1">
            <w:pPr>
              <w:ind w:left="-39" w:right="-65"/>
              <w:contextualSpacing/>
              <w:rPr>
                <w:rFonts w:ascii="Times New Roman" w:eastAsia="Times New Roman" w:hAnsi="Times New Roman"/>
                <w:bCs/>
                <w:sz w:val="17"/>
                <w:szCs w:val="17"/>
                <w:lang w:val="en-IN"/>
              </w:rPr>
            </w:pPr>
            <w:proofErr w:type="gramStart"/>
            <w:r w:rsidRPr="002F7029">
              <w:rPr>
                <w:rFonts w:ascii="Times New Roman" w:eastAsia="Times New Roman" w:hAnsi="Times New Roman"/>
                <w:bCs/>
                <w:sz w:val="17"/>
                <w:szCs w:val="17"/>
                <w:lang w:val="en-IN"/>
              </w:rPr>
              <w:t>Well</w:t>
            </w:r>
            <w:proofErr w:type="gramEnd"/>
            <w:r w:rsidRPr="002F7029">
              <w:rPr>
                <w:rFonts w:ascii="Times New Roman" w:eastAsia="Times New Roman" w:hAnsi="Times New Roman"/>
                <w:bCs/>
                <w:sz w:val="17"/>
                <w:szCs w:val="17"/>
                <w:lang w:val="en-IN"/>
              </w:rPr>
              <w:t xml:space="preserve"> supported mechanistically; field translation and standardised ranking methods lacking</w:t>
            </w:r>
          </w:p>
        </w:tc>
        <w:tc>
          <w:tcPr>
            <w:tcW w:w="1491" w:type="dxa"/>
          </w:tcPr>
          <w:p w14:paraId="6C1F9C8D"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Marguerit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(2012); Serra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 xml:space="preserve">(2014); Zhang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(2016)</w:t>
            </w:r>
          </w:p>
        </w:tc>
      </w:tr>
      <w:tr w:rsidR="004F6249" w:rsidRPr="002F7029" w14:paraId="0808F16D" w14:textId="77777777" w:rsidTr="00903213">
        <w:trPr>
          <w:trHeight w:val="20"/>
          <w:jc w:val="center"/>
        </w:trPr>
        <w:tc>
          <w:tcPr>
            <w:tcW w:w="1253" w:type="dxa"/>
          </w:tcPr>
          <w:p w14:paraId="25444D7C"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Contrasting drought strategies</w:t>
            </w:r>
          </w:p>
        </w:tc>
        <w:tc>
          <w:tcPr>
            <w:tcW w:w="2250" w:type="dxa"/>
          </w:tcPr>
          <w:p w14:paraId="485D493D"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Avoidance versus tolerance; delayed transpiration decline; rank reversal during recovery</w:t>
            </w:r>
          </w:p>
        </w:tc>
        <w:tc>
          <w:tcPr>
            <w:tcW w:w="1070" w:type="dxa"/>
          </w:tcPr>
          <w:p w14:paraId="3DCF9608"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 xml:space="preserve">Citrus, </w:t>
            </w:r>
            <w:r w:rsidRPr="002F7029">
              <w:rPr>
                <w:rFonts w:ascii="Times New Roman" w:eastAsia="Times New Roman" w:hAnsi="Times New Roman"/>
                <w:bCs/>
                <w:i/>
                <w:iCs/>
                <w:sz w:val="17"/>
                <w:szCs w:val="17"/>
                <w:lang w:val="en-IN"/>
              </w:rPr>
              <w:t>Prunus</w:t>
            </w:r>
          </w:p>
        </w:tc>
        <w:tc>
          <w:tcPr>
            <w:tcW w:w="1090" w:type="dxa"/>
          </w:tcPr>
          <w:p w14:paraId="5FBB87D2"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Potted and young grafted plants</w:t>
            </w:r>
          </w:p>
        </w:tc>
        <w:tc>
          <w:tcPr>
            <w:tcW w:w="1860" w:type="dxa"/>
          </w:tcPr>
          <w:p w14:paraId="3856781A"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Moderate; short experiments; recovery responses rarely measured</w:t>
            </w:r>
          </w:p>
        </w:tc>
        <w:tc>
          <w:tcPr>
            <w:tcW w:w="1491" w:type="dxa"/>
          </w:tcPr>
          <w:p w14:paraId="684A5E1A"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Opazo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(2020); Santana-Vieira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(2016)</w:t>
            </w:r>
          </w:p>
        </w:tc>
      </w:tr>
      <w:tr w:rsidR="004F6249" w:rsidRPr="002F7029" w14:paraId="0BB6FB3D" w14:textId="77777777" w:rsidTr="00903213">
        <w:trPr>
          <w:trHeight w:val="20"/>
          <w:jc w:val="center"/>
        </w:trPr>
        <w:tc>
          <w:tcPr>
            <w:tcW w:w="1253" w:type="dxa"/>
          </w:tcPr>
          <w:p w14:paraId="5A229E3D"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Polyploid rootstocks</w:t>
            </w:r>
          </w:p>
        </w:tc>
        <w:tc>
          <w:tcPr>
            <w:tcW w:w="2250" w:type="dxa"/>
          </w:tcPr>
          <w:p w14:paraId="7D1D7A79"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Tetraploid advantage in isolation that disappears under competition for soil water</w:t>
            </w:r>
          </w:p>
        </w:tc>
        <w:tc>
          <w:tcPr>
            <w:tcW w:w="1070" w:type="dxa"/>
          </w:tcPr>
          <w:p w14:paraId="6EF07EDF"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Citrus</w:t>
            </w:r>
          </w:p>
        </w:tc>
        <w:tc>
          <w:tcPr>
            <w:tcW w:w="1090" w:type="dxa"/>
          </w:tcPr>
          <w:p w14:paraId="1B40283A"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Pot experiments</w:t>
            </w:r>
          </w:p>
        </w:tc>
        <w:tc>
          <w:tcPr>
            <w:tcW w:w="1860" w:type="dxa"/>
          </w:tcPr>
          <w:p w14:paraId="0753EC40"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Low; conflicting results attributable to experimental design</w:t>
            </w:r>
          </w:p>
        </w:tc>
        <w:tc>
          <w:tcPr>
            <w:tcW w:w="1491" w:type="dxa"/>
          </w:tcPr>
          <w:p w14:paraId="399B090D" w14:textId="77777777" w:rsidR="004F6249" w:rsidRPr="002F7029" w:rsidRDefault="004F6249" w:rsidP="00B821B1">
            <w:pPr>
              <w:ind w:left="-39" w:right="-65"/>
              <w:contextualSpacing/>
              <w:rPr>
                <w:rFonts w:ascii="Times New Roman" w:eastAsia="Times New Roman" w:hAnsi="Times New Roman"/>
                <w:bCs/>
                <w:sz w:val="17"/>
                <w:szCs w:val="17"/>
                <w:lang w:val="en-IN"/>
              </w:rPr>
            </w:pPr>
            <w:proofErr w:type="spellStart"/>
            <w:r w:rsidRPr="002F7029">
              <w:rPr>
                <w:rFonts w:ascii="Times New Roman" w:eastAsia="Times New Roman" w:hAnsi="Times New Roman"/>
                <w:bCs/>
                <w:sz w:val="17"/>
                <w:szCs w:val="17"/>
                <w:lang w:val="en-IN"/>
              </w:rPr>
              <w:t>Allario</w:t>
            </w:r>
            <w:proofErr w:type="spellEnd"/>
            <w:r w:rsidRPr="002F7029">
              <w:rPr>
                <w:rFonts w:ascii="Times New Roman" w:eastAsia="Times New Roman" w:hAnsi="Times New Roman"/>
                <w:bCs/>
                <w:sz w:val="17"/>
                <w:szCs w:val="17"/>
                <w:lang w:val="en-IN"/>
              </w:rPr>
              <w:t xml:space="preserve">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(2013); da Silva Costa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(2025)</w:t>
            </w:r>
          </w:p>
        </w:tc>
      </w:tr>
      <w:tr w:rsidR="004F6249" w:rsidRPr="002F7029" w14:paraId="34672D06" w14:textId="77777777" w:rsidTr="00903213">
        <w:trPr>
          <w:trHeight w:val="20"/>
          <w:jc w:val="center"/>
        </w:trPr>
        <w:tc>
          <w:tcPr>
            <w:tcW w:w="1253" w:type="dxa"/>
          </w:tcPr>
          <w:p w14:paraId="05D0F987"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Root depth and architecture</w:t>
            </w:r>
          </w:p>
        </w:tc>
        <w:tc>
          <w:tcPr>
            <w:tcW w:w="2250" w:type="dxa"/>
          </w:tcPr>
          <w:p w14:paraId="3D016385"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Deeper rooting in drought-tolerant grapevine rootstocks</w:t>
            </w:r>
          </w:p>
        </w:tc>
        <w:tc>
          <w:tcPr>
            <w:tcW w:w="1070" w:type="dxa"/>
          </w:tcPr>
          <w:p w14:paraId="7953B6FC"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Grapevine</w:t>
            </w:r>
          </w:p>
        </w:tc>
        <w:tc>
          <w:tcPr>
            <w:tcW w:w="1090" w:type="dxa"/>
          </w:tcPr>
          <w:p w14:paraId="1B9FE14D"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Rhizotrons; modelling proposals</w:t>
            </w:r>
          </w:p>
        </w:tc>
        <w:tc>
          <w:tcPr>
            <w:tcW w:w="1860" w:type="dxa"/>
          </w:tcPr>
          <w:p w14:paraId="5F931545"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Moderate; field root dynamics poorly characterised</w:t>
            </w:r>
          </w:p>
        </w:tc>
        <w:tc>
          <w:tcPr>
            <w:tcW w:w="1491" w:type="dxa"/>
          </w:tcPr>
          <w:p w14:paraId="28A3F127"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Fichtl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(2023); Fort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(2017)</w:t>
            </w:r>
          </w:p>
        </w:tc>
      </w:tr>
      <w:tr w:rsidR="004F6249" w:rsidRPr="002F7029" w14:paraId="7DC8B064" w14:textId="77777777" w:rsidTr="00903213">
        <w:trPr>
          <w:trHeight w:val="20"/>
          <w:jc w:val="center"/>
        </w:trPr>
        <w:tc>
          <w:tcPr>
            <w:tcW w:w="1253" w:type="dxa"/>
          </w:tcPr>
          <w:p w14:paraId="7537206F"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Ion exclusion</w:t>
            </w:r>
          </w:p>
        </w:tc>
        <w:tc>
          <w:tcPr>
            <w:tcW w:w="2250" w:type="dxa"/>
          </w:tcPr>
          <w:p w14:paraId="5EE439AF"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Constitutive chloride exclusion; ion-specific and rootstock-specific responses to saline and desalinated water</w:t>
            </w:r>
          </w:p>
        </w:tc>
        <w:tc>
          <w:tcPr>
            <w:tcW w:w="1070" w:type="dxa"/>
          </w:tcPr>
          <w:p w14:paraId="7485D60C"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Grapevine, citrus, avocado</w:t>
            </w:r>
          </w:p>
        </w:tc>
        <w:tc>
          <w:tcPr>
            <w:tcW w:w="1090" w:type="dxa"/>
          </w:tcPr>
          <w:p w14:paraId="4D7184A4"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Controlled studies and orchard trials</w:t>
            </w:r>
          </w:p>
        </w:tc>
        <w:tc>
          <w:tcPr>
            <w:tcW w:w="1860" w:type="dxa"/>
          </w:tcPr>
          <w:p w14:paraId="16FA7234" w14:textId="77777777" w:rsidR="004F6249" w:rsidRPr="002F7029" w:rsidRDefault="004F6249" w:rsidP="00B821B1">
            <w:pPr>
              <w:ind w:left="-39" w:right="-65"/>
              <w:contextualSpacing/>
              <w:rPr>
                <w:rFonts w:ascii="Times New Roman" w:eastAsia="Times New Roman" w:hAnsi="Times New Roman"/>
                <w:bCs/>
                <w:sz w:val="17"/>
                <w:szCs w:val="17"/>
                <w:lang w:val="en-IN"/>
              </w:rPr>
            </w:pPr>
            <w:proofErr w:type="gramStart"/>
            <w:r w:rsidRPr="002F7029">
              <w:rPr>
                <w:rFonts w:ascii="Times New Roman" w:eastAsia="Times New Roman" w:hAnsi="Times New Roman"/>
                <w:bCs/>
                <w:sz w:val="17"/>
                <w:szCs w:val="17"/>
                <w:lang w:val="en-IN"/>
              </w:rPr>
              <w:t>Well</w:t>
            </w:r>
            <w:proofErr w:type="gramEnd"/>
            <w:r w:rsidRPr="002F7029">
              <w:rPr>
                <w:rFonts w:ascii="Times New Roman" w:eastAsia="Times New Roman" w:hAnsi="Times New Roman"/>
                <w:bCs/>
                <w:sz w:val="17"/>
                <w:szCs w:val="17"/>
                <w:lang w:val="en-IN"/>
              </w:rPr>
              <w:t xml:space="preserve"> supported for chloride; trade-offs with sodium and boron</w:t>
            </w:r>
          </w:p>
        </w:tc>
        <w:tc>
          <w:tcPr>
            <w:tcW w:w="1491" w:type="dxa"/>
          </w:tcPr>
          <w:p w14:paraId="20FBFA93"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Acosta-Rangel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(2019); Henderson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(2014); Navarro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(2022); Zhou-Tsang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(2021)</w:t>
            </w:r>
          </w:p>
        </w:tc>
      </w:tr>
      <w:tr w:rsidR="004F6249" w:rsidRPr="002F7029" w14:paraId="0363586B" w14:textId="77777777" w:rsidTr="00903213">
        <w:trPr>
          <w:trHeight w:val="20"/>
          <w:jc w:val="center"/>
        </w:trPr>
        <w:tc>
          <w:tcPr>
            <w:tcW w:w="1253" w:type="dxa"/>
          </w:tcPr>
          <w:p w14:paraId="1723E81D"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Transmissible antioxidant response under heat and drought</w:t>
            </w:r>
          </w:p>
        </w:tc>
        <w:tc>
          <w:tcPr>
            <w:tcW w:w="2250" w:type="dxa"/>
          </w:tcPr>
          <w:p w14:paraId="578C56B5"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Rootstock-dependent antioxidant activation in scion</w:t>
            </w:r>
          </w:p>
        </w:tc>
        <w:tc>
          <w:tcPr>
            <w:tcW w:w="1070" w:type="dxa"/>
          </w:tcPr>
          <w:p w14:paraId="3DE7441B"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Citrus</w:t>
            </w:r>
          </w:p>
        </w:tc>
        <w:tc>
          <w:tcPr>
            <w:tcW w:w="1090" w:type="dxa"/>
          </w:tcPr>
          <w:p w14:paraId="6C2C9E4A"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Reciprocal grafts of young plants</w:t>
            </w:r>
          </w:p>
        </w:tc>
        <w:tc>
          <w:tcPr>
            <w:tcW w:w="1860" w:type="dxa"/>
          </w:tcPr>
          <w:p w14:paraId="06C17EF6"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Preliminary for field application</w:t>
            </w:r>
          </w:p>
        </w:tc>
        <w:tc>
          <w:tcPr>
            <w:tcW w:w="1491" w:type="dxa"/>
          </w:tcPr>
          <w:p w14:paraId="4830636E"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Balfagón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(2022); Zandalinas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(2016)</w:t>
            </w:r>
          </w:p>
        </w:tc>
      </w:tr>
      <w:tr w:rsidR="004F6249" w:rsidRPr="002F7029" w14:paraId="73C6704E" w14:textId="77777777" w:rsidTr="00903213">
        <w:trPr>
          <w:trHeight w:val="20"/>
          <w:jc w:val="center"/>
        </w:trPr>
        <w:tc>
          <w:tcPr>
            <w:tcW w:w="1253" w:type="dxa"/>
          </w:tcPr>
          <w:p w14:paraId="1543B21A"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Mobile signals and scion gene expression</w:t>
            </w:r>
          </w:p>
        </w:tc>
        <w:tc>
          <w:tcPr>
            <w:tcW w:w="2250" w:type="dxa"/>
          </w:tcPr>
          <w:p w14:paraId="61144FE2"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Graft-transmissible mRNAs; environment-dependent rootstock effects on expression</w:t>
            </w:r>
          </w:p>
        </w:tc>
        <w:tc>
          <w:tcPr>
            <w:tcW w:w="1070" w:type="dxa"/>
          </w:tcPr>
          <w:p w14:paraId="63497308"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Grapevine</w:t>
            </w:r>
          </w:p>
        </w:tc>
        <w:tc>
          <w:tcPr>
            <w:tcW w:w="1090" w:type="dxa"/>
          </w:tcPr>
          <w:p w14:paraId="13CEE342"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In vitro and field grafts over several years</w:t>
            </w:r>
          </w:p>
        </w:tc>
        <w:tc>
          <w:tcPr>
            <w:tcW w:w="1860" w:type="dxa"/>
          </w:tcPr>
          <w:p w14:paraId="02F11D4B"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Conditional and variable; functional consequences unquantified</w:t>
            </w:r>
          </w:p>
        </w:tc>
        <w:tc>
          <w:tcPr>
            <w:tcW w:w="1491" w:type="dxa"/>
          </w:tcPr>
          <w:p w14:paraId="76FD7034" w14:textId="77777777" w:rsidR="004F6249" w:rsidRPr="002F7029" w:rsidRDefault="004F6249" w:rsidP="00B821B1">
            <w:pPr>
              <w:ind w:left="-39" w:right="-65"/>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Harris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(2023); Migicovsky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 xml:space="preserve">(2019); Yang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(2015)</w:t>
            </w:r>
          </w:p>
        </w:tc>
      </w:tr>
    </w:tbl>
    <w:p w14:paraId="1ECF4305" w14:textId="31B1D399" w:rsidR="004F6249" w:rsidRDefault="004F6249" w:rsidP="00B821B1">
      <w:pPr>
        <w:spacing w:after="0" w:line="240" w:lineRule="auto"/>
        <w:contextualSpacing/>
        <w:jc w:val="center"/>
        <w:rPr>
          <w:rFonts w:ascii="Times New Roman" w:eastAsia="Times New Roman" w:hAnsi="Times New Roman" w:cs="Times New Roman"/>
          <w:bCs/>
          <w:i/>
          <w:iCs/>
          <w:sz w:val="16"/>
          <w:szCs w:val="16"/>
          <w:lang w:val="en-IN"/>
        </w:rPr>
      </w:pPr>
      <w:r w:rsidRPr="00903213">
        <w:rPr>
          <w:rFonts w:ascii="Times New Roman" w:eastAsia="Times New Roman" w:hAnsi="Times New Roman" w:cs="Times New Roman"/>
          <w:bCs/>
          <w:i/>
          <w:iCs/>
          <w:sz w:val="16"/>
          <w:szCs w:val="16"/>
          <w:lang w:val="en-IN"/>
        </w:rPr>
        <w:t>Note. QTL, quantitative trait locus; mRNA, messenger RNA. Confidence categories follow the appraisal rubric described in Section 2.3</w:t>
      </w:r>
    </w:p>
    <w:p w14:paraId="121FB2C9" w14:textId="77777777" w:rsidR="002F442F" w:rsidRPr="00903213" w:rsidRDefault="002F442F" w:rsidP="00B821B1">
      <w:pPr>
        <w:spacing w:after="0" w:line="240" w:lineRule="auto"/>
        <w:contextualSpacing/>
        <w:jc w:val="center"/>
        <w:rPr>
          <w:rFonts w:ascii="Times New Roman" w:eastAsia="Times New Roman" w:hAnsi="Times New Roman" w:cs="Times New Roman"/>
          <w:bCs/>
          <w:i/>
          <w:iCs/>
          <w:sz w:val="16"/>
          <w:szCs w:val="16"/>
          <w:lang w:val="en-IN"/>
        </w:rPr>
      </w:pPr>
    </w:p>
    <w:p w14:paraId="6CD96225" w14:textId="77777777" w:rsidR="001C1531" w:rsidRPr="002F7029" w:rsidRDefault="001C1531" w:rsidP="00B821B1">
      <w:pPr>
        <w:pStyle w:val="Heading3"/>
        <w:keepNext w:val="0"/>
        <w:keepLines w:val="0"/>
        <w:rPr>
          <w:rFonts w:eastAsia="Times New Roman"/>
          <w:lang w:val="en-IN"/>
        </w:rPr>
      </w:pPr>
      <w:r w:rsidRPr="002F7029">
        <w:rPr>
          <w:rFonts w:eastAsia="Times New Roman"/>
          <w:lang w:val="en-IN"/>
        </w:rPr>
        <w:t>6. Canopy Architecture and Microclimate Management</w:t>
      </w:r>
    </w:p>
    <w:p w14:paraId="028E7C1E" w14:textId="77777777" w:rsidR="001C1531" w:rsidRPr="00553C64" w:rsidRDefault="001C1531" w:rsidP="00B821B1">
      <w:pPr>
        <w:spacing w:after="0" w:line="240" w:lineRule="auto"/>
        <w:contextualSpacing/>
        <w:jc w:val="both"/>
        <w:rPr>
          <w:rFonts w:ascii="Times New Roman" w:eastAsia="Times New Roman" w:hAnsi="Times New Roman" w:cs="Times New Roman"/>
          <w:b/>
          <w:bCs/>
          <w:sz w:val="14"/>
          <w:szCs w:val="14"/>
          <w:lang w:val="en-IN"/>
        </w:rPr>
      </w:pPr>
    </w:p>
    <w:p w14:paraId="6A9707D2"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Canopy and microclimate management operates on the energy balance of leaves and fruit rather than on the genetic capacity of the tree. Its principal advantage is speed, because nets, cooling systems and training changes can be introduced within existing plantings. Its principal limitation is that most interventions alter several components of the microclimate at once, including radiation, temperature, humidity, wind and evaporative demand, and these changes propagate to photosynthesis, fruit colour, water use, pollination and orchard biodiversity. This section evaluates the evidence for each group of interventions with particular attention to these secondary effects.</w:t>
      </w:r>
    </w:p>
    <w:p w14:paraId="3F13F029"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lastRenderedPageBreak/>
        <w:t>6.1 Canopy Architecture, Light Distribution and Fruit Exposure</w:t>
      </w:r>
    </w:p>
    <w:p w14:paraId="27A0F908" w14:textId="77777777" w:rsidR="001C1531" w:rsidRPr="00903213" w:rsidRDefault="001C1531" w:rsidP="00B821B1">
      <w:pPr>
        <w:spacing w:after="0" w:line="240" w:lineRule="auto"/>
        <w:contextualSpacing/>
        <w:jc w:val="both"/>
        <w:rPr>
          <w:rFonts w:ascii="Times New Roman" w:eastAsia="Times New Roman" w:hAnsi="Times New Roman" w:cs="Times New Roman"/>
          <w:b/>
          <w:bCs/>
          <w:i/>
          <w:iCs/>
          <w:sz w:val="14"/>
          <w:szCs w:val="14"/>
          <w:lang w:val="en-IN"/>
        </w:rPr>
      </w:pPr>
    </w:p>
    <w:p w14:paraId="7AF12BCF"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In peach, the transition from low-density to high-density plantings has depended on the availability of reliable size-controlling rootstocks, and training systems have been designed to increase light interception and labour and water-use efficiency and to facilitate mechanisation (Anthony &amp; Minas, 2021). Increased planting density generally increases yields, but excessive density promotes shading and excessive crop load reduces fruit quality, so canopy design must balance yield potential against quality potential (Anthony &amp; Minas, 2021). The same architecture that distributes light evenly throughout the canopy also exposes a larger proportion of fruit to full sunlight. In semi-arid apple regions, summer temperatures frequently exceed thresholds for sunburn, which can cause losses of more than 10% in some regions and years (</w:t>
      </w:r>
      <w:proofErr w:type="spellStart"/>
      <w:r w:rsidRPr="002F7029">
        <w:rPr>
          <w:rFonts w:ascii="Times New Roman" w:eastAsia="Times New Roman" w:hAnsi="Times New Roman" w:cs="Times New Roman"/>
          <w:bCs/>
          <w:sz w:val="17"/>
          <w:szCs w:val="17"/>
          <w:lang w:val="en-IN"/>
        </w:rPr>
        <w:t>Willsea</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2023). Fruit surface temperature is highest on the side facing south-west to west in the early afternoon (Konno &amp; Sugiura, 2024), which implies that row orientation and the positioning of fruit within the canopy influence sunburn risk.</w:t>
      </w:r>
    </w:p>
    <w:p w14:paraId="339F19EA"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4"/>
          <w:szCs w:val="14"/>
          <w:lang w:val="en-IN"/>
        </w:rPr>
      </w:pPr>
    </w:p>
    <w:p w14:paraId="112A9904"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Light quality within the canopy also matters. A high ratio of far-red to red light promotes shoot elongation, blue light promotes compact growth, and red and ultraviolet light stimulate anthocyanin synthesis in fruit skin (</w:t>
      </w:r>
      <w:proofErr w:type="spellStart"/>
      <w:r w:rsidRPr="002F7029">
        <w:rPr>
          <w:rFonts w:ascii="Times New Roman" w:eastAsia="Times New Roman" w:hAnsi="Times New Roman" w:cs="Times New Roman"/>
          <w:bCs/>
          <w:sz w:val="17"/>
          <w:szCs w:val="17"/>
          <w:lang w:val="en-IN"/>
        </w:rPr>
        <w:t>Bastías</w:t>
      </w:r>
      <w:proofErr w:type="spellEnd"/>
      <w:r w:rsidRPr="002F7029">
        <w:rPr>
          <w:rFonts w:ascii="Times New Roman" w:eastAsia="Times New Roman" w:hAnsi="Times New Roman" w:cs="Times New Roman"/>
          <w:bCs/>
          <w:sz w:val="17"/>
          <w:szCs w:val="17"/>
          <w:lang w:val="en-IN"/>
        </w:rPr>
        <w:t xml:space="preserve"> &amp; Corelli-Grappadelli, 2012). Canopy management can consequently influence fruit colour, which is a central quality concern under warming, as well as vegetative vigour. Crop load is a further canopy-level variable with direct consequences for water use. In olive trees grown in weighing lysimeters, fruit-loaded trees transpired roughly 30% more water than equivalent trees with low or no fruit load, and the difference was reflected in stem water potential but not in leaf-level stomatal conductance or photosynthesis (Bustan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2016). Early work on ultra-dense peach orchards had already shown that tree density, summer pruning and regulated water supply could be combined to control vigour while maintaining or increasing fruit growth (Chalmers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1981). Canopy architecture, crop load and irrigation are thus interdependent management decisions rather than separate ones.</w:t>
      </w:r>
    </w:p>
    <w:p w14:paraId="706CA597"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4"/>
          <w:szCs w:val="14"/>
          <w:lang w:val="en-IN"/>
        </w:rPr>
      </w:pPr>
    </w:p>
    <w:p w14:paraId="2A3CE8D3"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 xml:space="preserve">6.2 Protective and </w:t>
      </w:r>
      <w:proofErr w:type="spellStart"/>
      <w:r w:rsidRPr="002F7029">
        <w:rPr>
          <w:rFonts w:eastAsia="Times New Roman"/>
          <w:lang w:val="en-IN"/>
        </w:rPr>
        <w:t>Photoselective</w:t>
      </w:r>
      <w:proofErr w:type="spellEnd"/>
      <w:r w:rsidRPr="002F7029">
        <w:rPr>
          <w:rFonts w:eastAsia="Times New Roman"/>
          <w:lang w:val="en-IN"/>
        </w:rPr>
        <w:t xml:space="preserve"> Netting</w:t>
      </w:r>
    </w:p>
    <w:p w14:paraId="5661C411" w14:textId="77777777" w:rsidR="001C1531" w:rsidRPr="00903213" w:rsidRDefault="001C1531" w:rsidP="00B821B1">
      <w:pPr>
        <w:spacing w:after="0" w:line="240" w:lineRule="auto"/>
        <w:contextualSpacing/>
        <w:jc w:val="both"/>
        <w:rPr>
          <w:rFonts w:ascii="Times New Roman" w:eastAsia="Times New Roman" w:hAnsi="Times New Roman" w:cs="Times New Roman"/>
          <w:b/>
          <w:bCs/>
          <w:i/>
          <w:iCs/>
          <w:sz w:val="14"/>
          <w:szCs w:val="14"/>
          <w:lang w:val="en-IN"/>
        </w:rPr>
      </w:pPr>
    </w:p>
    <w:p w14:paraId="7DBCAD3B"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Protective netting was introduced mainly against hail but is increasingly used to prevent fruit sunburn and to protect against wind, birds and insects (</w:t>
      </w:r>
      <w:proofErr w:type="spellStart"/>
      <w:r w:rsidRPr="002F7029">
        <w:rPr>
          <w:rFonts w:ascii="Times New Roman" w:eastAsia="Times New Roman" w:hAnsi="Times New Roman" w:cs="Times New Roman"/>
          <w:bCs/>
          <w:sz w:val="17"/>
          <w:szCs w:val="17"/>
          <w:lang w:val="en-IN"/>
        </w:rPr>
        <w:t>Mupambi</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2018). Nets reduce light intensity by an approximately predetermined percentage, reduce wind speed and soil temperature, and have relatively small effects on canopy air temperature and relative humidity (</w:t>
      </w:r>
      <w:proofErr w:type="spellStart"/>
      <w:r w:rsidRPr="002F7029">
        <w:rPr>
          <w:rFonts w:ascii="Times New Roman" w:eastAsia="Times New Roman" w:hAnsi="Times New Roman" w:cs="Times New Roman"/>
          <w:bCs/>
          <w:sz w:val="17"/>
          <w:szCs w:val="17"/>
          <w:lang w:val="en-IN"/>
        </w:rPr>
        <w:t>Mupambi</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2018). In a young 'Honeycrisp' orchard in an irrigated desert climate, netting did not change air temperature or relative humidity but reduced wind speed by 40%, reduced photosynthetically active radiation by about 20%, improved soil moisture at 20 cm and 40 cm depth and lowered maximum fruit surface temperature by 2.6–4.3 °C under full sun, which reduced sunburn incidence and severity at harvest (</w:t>
      </w:r>
      <w:proofErr w:type="spellStart"/>
      <w:r w:rsidRPr="002F7029">
        <w:rPr>
          <w:rFonts w:ascii="Times New Roman" w:eastAsia="Times New Roman" w:hAnsi="Times New Roman" w:cs="Times New Roman"/>
          <w:bCs/>
          <w:sz w:val="17"/>
          <w:szCs w:val="17"/>
          <w:lang w:val="en-IN"/>
        </w:rPr>
        <w:t>Kalcsits</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2017). In north-eastern Portugal, grey and black anti-hail nets improved tree water status, stomatal conductance and net photosynthesis of 'Golden Delicious' apple and increased mean fruit weight, particularly when radiation exceeded the saturation point for photosynthesis (Brito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2021). In southern Brazil, anti-hail cover caused only small changes in microclimate and did not impair apple production or quality (Bosco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2015). For subtropical fruit, a review reported that shade nets reduced light intensity by 9–46% and canopy temperature by 1.3–7.6%, increased relative humidity by 3.2–12.9%, improved water-use efficiency and reduced sunburn and fruit splitting (</w:t>
      </w:r>
      <w:proofErr w:type="spellStart"/>
      <w:r w:rsidRPr="002F7029">
        <w:rPr>
          <w:rFonts w:ascii="Times New Roman" w:eastAsia="Times New Roman" w:hAnsi="Times New Roman" w:cs="Times New Roman"/>
          <w:bCs/>
          <w:sz w:val="17"/>
          <w:szCs w:val="17"/>
          <w:lang w:val="en-IN"/>
        </w:rPr>
        <w:t>Mditshwa</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2019).</w:t>
      </w:r>
    </w:p>
    <w:p w14:paraId="6882625C"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4"/>
          <w:szCs w:val="14"/>
          <w:lang w:val="en-IN"/>
        </w:rPr>
      </w:pPr>
    </w:p>
    <w:p w14:paraId="4A4EB4AF"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benefits of netting are well supported for sunburn reduction and are plausible for water conservation, but several limitations qualify them. Increased shading promotes leaf area, shoot length and shoot biomass, and it affects fruit set, return bloom and flower induction (</w:t>
      </w:r>
      <w:proofErr w:type="spellStart"/>
      <w:r w:rsidRPr="002F7029">
        <w:rPr>
          <w:rFonts w:ascii="Times New Roman" w:eastAsia="Times New Roman" w:hAnsi="Times New Roman" w:cs="Times New Roman"/>
          <w:bCs/>
          <w:sz w:val="17"/>
          <w:szCs w:val="17"/>
          <w:lang w:val="en-IN"/>
        </w:rPr>
        <w:t>Mupambi</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2018). Effects on fruit quality have been inconsistent across studies, and seasonal environmental conditions have often influenced quality more than the netting itself (</w:t>
      </w:r>
      <w:proofErr w:type="spellStart"/>
      <w:r w:rsidRPr="002F7029">
        <w:rPr>
          <w:rFonts w:ascii="Times New Roman" w:eastAsia="Times New Roman" w:hAnsi="Times New Roman" w:cs="Times New Roman"/>
          <w:bCs/>
          <w:sz w:val="17"/>
          <w:szCs w:val="17"/>
          <w:lang w:val="en-IN"/>
        </w:rPr>
        <w:t>Mupambi</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2018). The most consistent quality penalty is reduced red colour in bicoloured apple cultivars, a trade-off that has prompted the development of practices such as retracting nets before harvest (</w:t>
      </w:r>
      <w:proofErr w:type="spellStart"/>
      <w:r w:rsidRPr="002F7029">
        <w:rPr>
          <w:rFonts w:ascii="Times New Roman" w:eastAsia="Times New Roman" w:hAnsi="Times New Roman" w:cs="Times New Roman"/>
          <w:bCs/>
          <w:sz w:val="17"/>
          <w:szCs w:val="17"/>
          <w:lang w:val="en-IN"/>
        </w:rPr>
        <w:t>Willsea</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2023). Net type, colour, shading factor, mesh size and the timing of deployment all modify outcomes (Manja &amp; Aoun, 2019), and </w:t>
      </w:r>
      <w:proofErr w:type="spellStart"/>
      <w:r w:rsidRPr="002F7029">
        <w:rPr>
          <w:rFonts w:ascii="Times New Roman" w:eastAsia="Times New Roman" w:hAnsi="Times New Roman" w:cs="Times New Roman"/>
          <w:bCs/>
          <w:sz w:val="17"/>
          <w:szCs w:val="17"/>
          <w:lang w:val="en-IN"/>
        </w:rPr>
        <w:t>photoselective</w:t>
      </w:r>
      <w:proofErr w:type="spellEnd"/>
      <w:r w:rsidRPr="002F7029">
        <w:rPr>
          <w:rFonts w:ascii="Times New Roman" w:eastAsia="Times New Roman" w:hAnsi="Times New Roman" w:cs="Times New Roman"/>
          <w:bCs/>
          <w:sz w:val="17"/>
          <w:szCs w:val="17"/>
          <w:lang w:val="en-IN"/>
        </w:rPr>
        <w:t xml:space="preserve"> nets that alter light quality add further variables to an already context-dependent intervention (Vuković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2022).</w:t>
      </w:r>
    </w:p>
    <w:p w14:paraId="01493034"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4"/>
          <w:szCs w:val="14"/>
          <w:lang w:val="en-IN"/>
        </w:rPr>
      </w:pPr>
    </w:p>
    <w:p w14:paraId="487667FA"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Ecological side effects have received less attention. Low bee activity and reduced pollination under shade netting have been identified as a serious concern in subtropical orchards (</w:t>
      </w:r>
      <w:proofErr w:type="spellStart"/>
      <w:r w:rsidRPr="002F7029">
        <w:rPr>
          <w:rFonts w:ascii="Times New Roman" w:eastAsia="Times New Roman" w:hAnsi="Times New Roman" w:cs="Times New Roman"/>
          <w:bCs/>
          <w:sz w:val="17"/>
          <w:szCs w:val="17"/>
          <w:lang w:val="en-IN"/>
        </w:rPr>
        <w:t>Mditshwa</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2019). A systematic review of 48 studies on the effects of protection nets on biota found that nets were highly effective in deterring target pests, sometimes even when installed for weather protection, but that side effects on non-target taxa were frequently reported, and it proposed that netting may create species-poorer communities with simplified ecological networks and reduced biological control potential (Alessandrini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2026). The same review noted that the available evidence is strongly biased towards apple orchards, Western countries and pest taxa. The long-term ecological costs of large-scale netting remain uncertain and should be weighed against its short-term agronomic benefits.</w:t>
      </w:r>
    </w:p>
    <w:p w14:paraId="02B3C5B8"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4"/>
          <w:szCs w:val="14"/>
          <w:lang w:val="en-IN"/>
        </w:rPr>
      </w:pPr>
    </w:p>
    <w:p w14:paraId="017FC9D3"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6.3 Evaporative Cooling and Reflective Particle Films</w:t>
      </w:r>
    </w:p>
    <w:p w14:paraId="172EEAAE" w14:textId="77777777" w:rsidR="001C1531" w:rsidRPr="00903213" w:rsidRDefault="001C1531" w:rsidP="00B821B1">
      <w:pPr>
        <w:spacing w:after="0" w:line="240" w:lineRule="auto"/>
        <w:contextualSpacing/>
        <w:jc w:val="both"/>
        <w:rPr>
          <w:rFonts w:ascii="Times New Roman" w:eastAsia="Times New Roman" w:hAnsi="Times New Roman" w:cs="Times New Roman"/>
          <w:b/>
          <w:bCs/>
          <w:i/>
          <w:iCs/>
          <w:sz w:val="14"/>
          <w:szCs w:val="14"/>
          <w:lang w:val="en-IN"/>
        </w:rPr>
      </w:pPr>
    </w:p>
    <w:p w14:paraId="73D4D86F" w14:textId="539FBB2E"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Evaporative cooling with overhead sprinklers and kaolin-based particle films reduce fruit temperature through different mechanisms. In a South African comparison on days with maximum air temperatures of 34–37 °C, fruit under a 20% shade net were 5.4–9.7 °C cooler than untreated fruit, fruit under evaporative cooling 3.1–5.8 °C cooler and fruit coated with kaolin 1.5–6.4 °C cooler (</w:t>
      </w:r>
      <w:proofErr w:type="spellStart"/>
      <w:r w:rsidRPr="002F7029">
        <w:rPr>
          <w:rFonts w:ascii="Times New Roman" w:eastAsia="Times New Roman" w:hAnsi="Times New Roman" w:cs="Times New Roman"/>
          <w:bCs/>
          <w:sz w:val="17"/>
          <w:szCs w:val="17"/>
          <w:lang w:val="en-IN"/>
        </w:rPr>
        <w:t>Gindaba</w:t>
      </w:r>
      <w:proofErr w:type="spellEnd"/>
      <w:r w:rsidRPr="002F7029">
        <w:rPr>
          <w:rFonts w:ascii="Times New Roman" w:eastAsia="Times New Roman" w:hAnsi="Times New Roman" w:cs="Times New Roman"/>
          <w:bCs/>
          <w:sz w:val="17"/>
          <w:szCs w:val="17"/>
          <w:lang w:val="en-IN"/>
        </w:rPr>
        <w:t xml:space="preserve"> &amp; Wand, 2005). Shade netting, followed by kaolin, controlled sunburn most effectively, whereas evaporative cooling was less effective but increased fruit mass, and all treatments reduced blush colour, with the strongest reduction under the net (</w:t>
      </w:r>
      <w:proofErr w:type="spellStart"/>
      <w:r w:rsidRPr="002F7029">
        <w:rPr>
          <w:rFonts w:ascii="Times New Roman" w:eastAsia="Times New Roman" w:hAnsi="Times New Roman" w:cs="Times New Roman"/>
          <w:bCs/>
          <w:sz w:val="17"/>
          <w:szCs w:val="17"/>
          <w:lang w:val="en-IN"/>
        </w:rPr>
        <w:t>Gindaba</w:t>
      </w:r>
      <w:proofErr w:type="spellEnd"/>
      <w:r w:rsidRPr="002F7029">
        <w:rPr>
          <w:rFonts w:ascii="Times New Roman" w:eastAsia="Times New Roman" w:hAnsi="Times New Roman" w:cs="Times New Roman"/>
          <w:bCs/>
          <w:sz w:val="17"/>
          <w:szCs w:val="17"/>
          <w:lang w:val="en-IN"/>
        </w:rPr>
        <w:t xml:space="preserve"> &amp; Wand, 2005). The authors concluded that, under high irradiance, technologies that reduce both radiation and temperature are more effective against sunburn than those that reduce temperature alone. Kaolin films reflect infrared, photosynthetically active and ultraviolet radiation, can reduce canopy temperature by as much as 5 °C and may increase whole-canopy photosynthesis by diffusing light into the canopy interior (Glenn, 2012). In walnut (</w:t>
      </w:r>
      <w:r w:rsidRPr="002F7029">
        <w:rPr>
          <w:rFonts w:ascii="Times New Roman" w:eastAsia="Times New Roman" w:hAnsi="Times New Roman" w:cs="Times New Roman"/>
          <w:bCs/>
          <w:i/>
          <w:iCs/>
          <w:sz w:val="17"/>
          <w:szCs w:val="17"/>
          <w:lang w:val="en-IN"/>
        </w:rPr>
        <w:t>Juglans regia</w:t>
      </w:r>
      <w:r w:rsidRPr="002F7029">
        <w:rPr>
          <w:rFonts w:ascii="Times New Roman" w:eastAsia="Times New Roman" w:hAnsi="Times New Roman" w:cs="Times New Roman"/>
          <w:bCs/>
          <w:sz w:val="17"/>
          <w:szCs w:val="17"/>
          <w:lang w:val="en-IN"/>
        </w:rPr>
        <w:t xml:space="preserve"> L.) and almond (</w:t>
      </w:r>
      <w:r w:rsidRPr="002F7029">
        <w:rPr>
          <w:rFonts w:ascii="Times New Roman" w:eastAsia="Times New Roman" w:hAnsi="Times New Roman" w:cs="Times New Roman"/>
          <w:bCs/>
          <w:i/>
          <w:iCs/>
          <w:sz w:val="17"/>
          <w:szCs w:val="17"/>
          <w:lang w:val="en-IN"/>
        </w:rPr>
        <w:t>Prunus dulcis</w:t>
      </w:r>
      <w:r w:rsidRPr="002F7029">
        <w:rPr>
          <w:rFonts w:ascii="Times New Roman" w:eastAsia="Times New Roman" w:hAnsi="Times New Roman" w:cs="Times New Roman"/>
          <w:bCs/>
          <w:sz w:val="17"/>
          <w:szCs w:val="17"/>
          <w:lang w:val="en-IN"/>
        </w:rPr>
        <w:t xml:space="preserve"> (Mill.) </w:t>
      </w:r>
      <w:proofErr w:type="spellStart"/>
      <w:r w:rsidRPr="002F7029">
        <w:rPr>
          <w:rFonts w:ascii="Times New Roman" w:eastAsia="Times New Roman" w:hAnsi="Times New Roman" w:cs="Times New Roman"/>
          <w:bCs/>
          <w:sz w:val="17"/>
          <w:szCs w:val="17"/>
          <w:lang w:val="en-IN"/>
        </w:rPr>
        <w:t>D.</w:t>
      </w:r>
      <w:proofErr w:type="gramStart"/>
      <w:r w:rsidRPr="002F7029">
        <w:rPr>
          <w:rFonts w:ascii="Times New Roman" w:eastAsia="Times New Roman" w:hAnsi="Times New Roman" w:cs="Times New Roman"/>
          <w:bCs/>
          <w:sz w:val="17"/>
          <w:szCs w:val="17"/>
          <w:lang w:val="en-IN"/>
        </w:rPr>
        <w:t>A.Webb</w:t>
      </w:r>
      <w:proofErr w:type="spellEnd"/>
      <w:proofErr w:type="gramEnd"/>
      <w:r w:rsidRPr="002F7029">
        <w:rPr>
          <w:rFonts w:ascii="Times New Roman" w:eastAsia="Times New Roman" w:hAnsi="Times New Roman" w:cs="Times New Roman"/>
          <w:bCs/>
          <w:sz w:val="17"/>
          <w:szCs w:val="17"/>
          <w:lang w:val="en-IN"/>
        </w:rPr>
        <w:t xml:space="preserve">), however, kaolin reduced leaf temperature by about 1–3 °C but also reduced light-saturated photosynthesis without affecting stem water potential or stomatal conductance, regardless of irrigation regime (Rosati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2006). The net effect of particle films on carbon gain therefore depends on whether light or heat is the more limiting factor.</w:t>
      </w:r>
    </w:p>
    <w:p w14:paraId="3404AFE3" w14:textId="77777777" w:rsidR="004F6249" w:rsidRDefault="004F6249" w:rsidP="00B821B1">
      <w:pPr>
        <w:spacing w:after="0" w:line="240" w:lineRule="auto"/>
        <w:contextualSpacing/>
        <w:jc w:val="both"/>
        <w:rPr>
          <w:rFonts w:ascii="Times New Roman" w:eastAsia="Times New Roman" w:hAnsi="Times New Roman" w:cs="Times New Roman"/>
          <w:bCs/>
          <w:sz w:val="17"/>
          <w:szCs w:val="17"/>
          <w:lang w:val="en-IN"/>
        </w:rPr>
        <w:sectPr w:rsidR="004F6249" w:rsidSect="004F6249">
          <w:pgSz w:w="11909" w:h="16834" w:code="9"/>
          <w:pgMar w:top="1440" w:right="1440" w:bottom="1440" w:left="1440" w:header="720" w:footer="864" w:gutter="0"/>
          <w:cols w:space="720"/>
          <w:docGrid w:linePitch="360"/>
        </w:sectPr>
      </w:pPr>
    </w:p>
    <w:p w14:paraId="4F04A2B9" w14:textId="77777777" w:rsidR="004F6249" w:rsidRPr="004F6249" w:rsidRDefault="004F6249" w:rsidP="00B821B1">
      <w:pPr>
        <w:spacing w:after="0" w:line="240" w:lineRule="auto"/>
        <w:contextualSpacing/>
        <w:jc w:val="center"/>
        <w:rPr>
          <w:rFonts w:ascii="Times New Roman" w:eastAsia="Times New Roman" w:hAnsi="Times New Roman" w:cs="Times New Roman"/>
          <w:b/>
          <w:bCs/>
          <w:sz w:val="17"/>
          <w:szCs w:val="17"/>
          <w:lang w:val="en-IN"/>
        </w:rPr>
      </w:pPr>
      <w:r w:rsidRPr="004F6249">
        <w:rPr>
          <w:rFonts w:ascii="Times New Roman" w:eastAsia="Times New Roman" w:hAnsi="Times New Roman" w:cs="Times New Roman"/>
          <w:b/>
          <w:bCs/>
          <w:sz w:val="17"/>
          <w:szCs w:val="17"/>
          <w:lang w:val="en-IN"/>
        </w:rPr>
        <w:lastRenderedPageBreak/>
        <w:t>Table 5. Canopy and microclimate interventions for climate adaptation in fruit crops: hazards addressed, documented benefits, trade-offs and maturity of evidence</w:t>
      </w:r>
    </w:p>
    <w:p w14:paraId="7FE364BA" w14:textId="77777777" w:rsidR="004F6249" w:rsidRPr="002F7029" w:rsidRDefault="004F6249" w:rsidP="00B821B1">
      <w:pPr>
        <w:spacing w:after="0" w:line="240" w:lineRule="auto"/>
        <w:contextualSpacing/>
        <w:jc w:val="both"/>
        <w:rPr>
          <w:rFonts w:ascii="Times New Roman" w:eastAsia="Times New Roman" w:hAnsi="Times New Roman" w:cs="Times New Roman"/>
          <w:bCs/>
          <w:sz w:val="17"/>
          <w:szCs w:val="17"/>
          <w:lang w:val="en-IN"/>
        </w:rPr>
      </w:pPr>
    </w:p>
    <w:tbl>
      <w:tblPr>
        <w:tblStyle w:val="TableGrid"/>
        <w:tblW w:w="4910" w:type="pct"/>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781"/>
        <w:gridCol w:w="2160"/>
        <w:gridCol w:w="2700"/>
        <w:gridCol w:w="2790"/>
        <w:gridCol w:w="2160"/>
        <w:gridCol w:w="2324"/>
      </w:tblGrid>
      <w:tr w:rsidR="004F6249" w:rsidRPr="002F7029" w14:paraId="3B71BC3D" w14:textId="77777777" w:rsidTr="00903213">
        <w:trPr>
          <w:trHeight w:val="20"/>
          <w:jc w:val="center"/>
        </w:trPr>
        <w:tc>
          <w:tcPr>
            <w:tcW w:w="1781" w:type="dxa"/>
          </w:tcPr>
          <w:p w14:paraId="519C2563"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Intervention</w:t>
            </w:r>
          </w:p>
        </w:tc>
        <w:tc>
          <w:tcPr>
            <w:tcW w:w="2160" w:type="dxa"/>
          </w:tcPr>
          <w:p w14:paraId="6E531D81"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Primary hazard addressed</w:t>
            </w:r>
          </w:p>
        </w:tc>
        <w:tc>
          <w:tcPr>
            <w:tcW w:w="2700" w:type="dxa"/>
          </w:tcPr>
          <w:p w14:paraId="059FD634"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Documented benefits</w:t>
            </w:r>
          </w:p>
        </w:tc>
        <w:tc>
          <w:tcPr>
            <w:tcW w:w="2790" w:type="dxa"/>
          </w:tcPr>
          <w:p w14:paraId="5FE93193"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Trade-offs and risks</w:t>
            </w:r>
          </w:p>
        </w:tc>
        <w:tc>
          <w:tcPr>
            <w:tcW w:w="2160" w:type="dxa"/>
          </w:tcPr>
          <w:p w14:paraId="101FC672"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Evidence maturity</w:t>
            </w:r>
          </w:p>
        </w:tc>
        <w:tc>
          <w:tcPr>
            <w:tcW w:w="2324" w:type="dxa"/>
          </w:tcPr>
          <w:p w14:paraId="2E0CC86D"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Supporting references</w:t>
            </w:r>
          </w:p>
        </w:tc>
      </w:tr>
      <w:tr w:rsidR="004F6249" w:rsidRPr="002F7029" w14:paraId="14883683" w14:textId="77777777" w:rsidTr="00903213">
        <w:trPr>
          <w:trHeight w:val="20"/>
          <w:jc w:val="center"/>
        </w:trPr>
        <w:tc>
          <w:tcPr>
            <w:tcW w:w="1781" w:type="dxa"/>
          </w:tcPr>
          <w:p w14:paraId="154F444F"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High-density planar canopies</w:t>
            </w:r>
          </w:p>
        </w:tc>
        <w:tc>
          <w:tcPr>
            <w:tcW w:w="2160" w:type="dxa"/>
          </w:tcPr>
          <w:p w14:paraId="1CFC3D81"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Low light-use efficiency; labour constraints</w:t>
            </w:r>
          </w:p>
        </w:tc>
        <w:tc>
          <w:tcPr>
            <w:tcW w:w="2700" w:type="dxa"/>
          </w:tcPr>
          <w:p w14:paraId="13D03730"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Higher light interception, yield efficiency and uniform fruit quality</w:t>
            </w:r>
          </w:p>
        </w:tc>
        <w:tc>
          <w:tcPr>
            <w:tcW w:w="2790" w:type="dxa"/>
          </w:tcPr>
          <w:p w14:paraId="35E1DE31"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Greater fruit exposure to sunburn in hot regions; shading at excessive density</w:t>
            </w:r>
          </w:p>
        </w:tc>
        <w:tc>
          <w:tcPr>
            <w:tcW w:w="2160" w:type="dxa"/>
          </w:tcPr>
          <w:p w14:paraId="3515C8A8" w14:textId="77777777" w:rsidR="004F6249" w:rsidRPr="002F7029" w:rsidRDefault="004F6249" w:rsidP="00B821B1">
            <w:pPr>
              <w:ind w:left="-16" w:right="-27"/>
              <w:contextualSpacing/>
              <w:rPr>
                <w:rFonts w:ascii="Times New Roman" w:eastAsia="Times New Roman" w:hAnsi="Times New Roman"/>
                <w:bCs/>
                <w:sz w:val="17"/>
                <w:szCs w:val="17"/>
                <w:lang w:val="en-IN"/>
              </w:rPr>
            </w:pPr>
            <w:proofErr w:type="gramStart"/>
            <w:r w:rsidRPr="002F7029">
              <w:rPr>
                <w:rFonts w:ascii="Times New Roman" w:eastAsia="Times New Roman" w:hAnsi="Times New Roman"/>
                <w:bCs/>
                <w:sz w:val="17"/>
                <w:szCs w:val="17"/>
                <w:lang w:val="en-IN"/>
              </w:rPr>
              <w:t>Well</w:t>
            </w:r>
            <w:proofErr w:type="gramEnd"/>
            <w:r w:rsidRPr="002F7029">
              <w:rPr>
                <w:rFonts w:ascii="Times New Roman" w:eastAsia="Times New Roman" w:hAnsi="Times New Roman"/>
                <w:bCs/>
                <w:sz w:val="17"/>
                <w:szCs w:val="17"/>
                <w:lang w:val="en-IN"/>
              </w:rPr>
              <w:t xml:space="preserve"> established for productivity; climate interactions less studied</w:t>
            </w:r>
          </w:p>
        </w:tc>
        <w:tc>
          <w:tcPr>
            <w:tcW w:w="2324" w:type="dxa"/>
          </w:tcPr>
          <w:p w14:paraId="1FBF9A1E"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 xml:space="preserve">Anthony &amp; Minas (2021); </w:t>
            </w:r>
            <w:proofErr w:type="spellStart"/>
            <w:r w:rsidRPr="002F7029">
              <w:rPr>
                <w:rFonts w:ascii="Times New Roman" w:eastAsia="Times New Roman" w:hAnsi="Times New Roman"/>
                <w:bCs/>
                <w:sz w:val="17"/>
                <w:szCs w:val="17"/>
                <w:lang w:val="en-IN"/>
              </w:rPr>
              <w:t>Willsea</w:t>
            </w:r>
            <w:proofErr w:type="spellEnd"/>
            <w:r w:rsidRPr="002F7029">
              <w:rPr>
                <w:rFonts w:ascii="Times New Roman" w:eastAsia="Times New Roman" w:hAnsi="Times New Roman"/>
                <w:bCs/>
                <w:sz w:val="17"/>
                <w:szCs w:val="17"/>
                <w:lang w:val="en-IN"/>
              </w:rPr>
              <w:t xml:space="preserve">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(2023)</w:t>
            </w:r>
          </w:p>
        </w:tc>
      </w:tr>
      <w:tr w:rsidR="004F6249" w:rsidRPr="002F7029" w14:paraId="112640AD" w14:textId="77777777" w:rsidTr="00903213">
        <w:trPr>
          <w:trHeight w:val="20"/>
          <w:jc w:val="center"/>
        </w:trPr>
        <w:tc>
          <w:tcPr>
            <w:tcW w:w="1781" w:type="dxa"/>
          </w:tcPr>
          <w:p w14:paraId="489FE940"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Crop load management</w:t>
            </w:r>
          </w:p>
        </w:tc>
        <w:tc>
          <w:tcPr>
            <w:tcW w:w="2160" w:type="dxa"/>
          </w:tcPr>
          <w:p w14:paraId="39C415CA"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Water stress; fruit quality decline</w:t>
            </w:r>
          </w:p>
        </w:tc>
        <w:tc>
          <w:tcPr>
            <w:tcW w:w="2700" w:type="dxa"/>
          </w:tcPr>
          <w:p w14:paraId="3284C28C"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Reduced whole-tree transpiration at low crop load; control of vigour with regulated water supply</w:t>
            </w:r>
          </w:p>
        </w:tc>
        <w:tc>
          <w:tcPr>
            <w:tcW w:w="2790" w:type="dxa"/>
          </w:tcPr>
          <w:p w14:paraId="2A28385F"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Yield loss if excessive; alternate bearing</w:t>
            </w:r>
          </w:p>
        </w:tc>
        <w:tc>
          <w:tcPr>
            <w:tcW w:w="2160" w:type="dxa"/>
          </w:tcPr>
          <w:p w14:paraId="6407613D"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Moderate</w:t>
            </w:r>
          </w:p>
        </w:tc>
        <w:tc>
          <w:tcPr>
            <w:tcW w:w="2324" w:type="dxa"/>
          </w:tcPr>
          <w:p w14:paraId="0A2A3B01"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Bustan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(2016); Chalmers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(1981)</w:t>
            </w:r>
          </w:p>
        </w:tc>
      </w:tr>
      <w:tr w:rsidR="004F6249" w:rsidRPr="002F7029" w14:paraId="7761DF6C" w14:textId="77777777" w:rsidTr="00903213">
        <w:trPr>
          <w:trHeight w:val="20"/>
          <w:jc w:val="center"/>
        </w:trPr>
        <w:tc>
          <w:tcPr>
            <w:tcW w:w="1781" w:type="dxa"/>
          </w:tcPr>
          <w:p w14:paraId="038BDFE1"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 xml:space="preserve">Protective and </w:t>
            </w:r>
            <w:proofErr w:type="spellStart"/>
            <w:r w:rsidRPr="002F7029">
              <w:rPr>
                <w:rFonts w:ascii="Times New Roman" w:eastAsia="Times New Roman" w:hAnsi="Times New Roman"/>
                <w:bCs/>
                <w:sz w:val="17"/>
                <w:szCs w:val="17"/>
                <w:lang w:val="en-IN"/>
              </w:rPr>
              <w:t>photoselective</w:t>
            </w:r>
            <w:proofErr w:type="spellEnd"/>
            <w:r w:rsidRPr="002F7029">
              <w:rPr>
                <w:rFonts w:ascii="Times New Roman" w:eastAsia="Times New Roman" w:hAnsi="Times New Roman"/>
                <w:bCs/>
                <w:sz w:val="17"/>
                <w:szCs w:val="17"/>
                <w:lang w:val="en-IN"/>
              </w:rPr>
              <w:t xml:space="preserve"> netting</w:t>
            </w:r>
          </w:p>
        </w:tc>
        <w:tc>
          <w:tcPr>
            <w:tcW w:w="2160" w:type="dxa"/>
          </w:tcPr>
          <w:p w14:paraId="2818629A"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Sunburn, hail, excess radiation</w:t>
            </w:r>
          </w:p>
        </w:tc>
        <w:tc>
          <w:tcPr>
            <w:tcW w:w="2700" w:type="dxa"/>
          </w:tcPr>
          <w:p w14:paraId="4A8B79B3"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Lower fruit surface temperature; reduced sunburn; improved soil moisture and tree water status in hot climates</w:t>
            </w:r>
          </w:p>
        </w:tc>
        <w:tc>
          <w:tcPr>
            <w:tcW w:w="2790" w:type="dxa"/>
          </w:tcPr>
          <w:p w14:paraId="63C89401"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Reduced red colour; altered vigour, fruit set and return bloom; reduced pollinator activity; effects on non-target biota</w:t>
            </w:r>
          </w:p>
        </w:tc>
        <w:tc>
          <w:tcPr>
            <w:tcW w:w="2160" w:type="dxa"/>
          </w:tcPr>
          <w:p w14:paraId="20E2CB3F" w14:textId="77777777" w:rsidR="004F6249" w:rsidRPr="002F7029" w:rsidRDefault="004F6249" w:rsidP="00B821B1">
            <w:pPr>
              <w:ind w:left="-16" w:right="-27"/>
              <w:contextualSpacing/>
              <w:rPr>
                <w:rFonts w:ascii="Times New Roman" w:eastAsia="Times New Roman" w:hAnsi="Times New Roman"/>
                <w:bCs/>
                <w:sz w:val="17"/>
                <w:szCs w:val="17"/>
                <w:lang w:val="en-IN"/>
              </w:rPr>
            </w:pPr>
            <w:proofErr w:type="gramStart"/>
            <w:r w:rsidRPr="002F7029">
              <w:rPr>
                <w:rFonts w:ascii="Times New Roman" w:eastAsia="Times New Roman" w:hAnsi="Times New Roman"/>
                <w:bCs/>
                <w:sz w:val="17"/>
                <w:szCs w:val="17"/>
                <w:lang w:val="en-IN"/>
              </w:rPr>
              <w:t>Well</w:t>
            </w:r>
            <w:proofErr w:type="gramEnd"/>
            <w:r w:rsidRPr="002F7029">
              <w:rPr>
                <w:rFonts w:ascii="Times New Roman" w:eastAsia="Times New Roman" w:hAnsi="Times New Roman"/>
                <w:bCs/>
                <w:sz w:val="17"/>
                <w:szCs w:val="17"/>
                <w:lang w:val="en-IN"/>
              </w:rPr>
              <w:t xml:space="preserve"> supported for sunburn; inconsistent for quality; limited for ecology</w:t>
            </w:r>
          </w:p>
        </w:tc>
        <w:tc>
          <w:tcPr>
            <w:tcW w:w="2324" w:type="dxa"/>
          </w:tcPr>
          <w:p w14:paraId="379C0468"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Alessandrini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(2026); Brito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(2021); Kalcsits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(2017); Mditshwa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 xml:space="preserve">(2019); </w:t>
            </w:r>
            <w:proofErr w:type="spellStart"/>
            <w:r w:rsidRPr="002F7029">
              <w:rPr>
                <w:rFonts w:ascii="Times New Roman" w:eastAsia="Times New Roman" w:hAnsi="Times New Roman"/>
                <w:bCs/>
                <w:sz w:val="17"/>
                <w:szCs w:val="17"/>
                <w:lang w:val="en-IN"/>
              </w:rPr>
              <w:t>Mupambi</w:t>
            </w:r>
            <w:proofErr w:type="spellEnd"/>
            <w:r w:rsidRPr="002F7029">
              <w:rPr>
                <w:rFonts w:ascii="Times New Roman" w:eastAsia="Times New Roman" w:hAnsi="Times New Roman"/>
                <w:bCs/>
                <w:sz w:val="17"/>
                <w:szCs w:val="17"/>
                <w:lang w:val="en-IN"/>
              </w:rPr>
              <w:t xml:space="preserve">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(2018)</w:t>
            </w:r>
          </w:p>
        </w:tc>
      </w:tr>
      <w:tr w:rsidR="004F6249" w:rsidRPr="002F7029" w14:paraId="25C05288" w14:textId="77777777" w:rsidTr="00903213">
        <w:trPr>
          <w:trHeight w:val="20"/>
          <w:jc w:val="center"/>
        </w:trPr>
        <w:tc>
          <w:tcPr>
            <w:tcW w:w="1781" w:type="dxa"/>
          </w:tcPr>
          <w:p w14:paraId="00C523AE"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Evaporative cooling</w:t>
            </w:r>
          </w:p>
        </w:tc>
        <w:tc>
          <w:tcPr>
            <w:tcW w:w="2160" w:type="dxa"/>
          </w:tcPr>
          <w:p w14:paraId="25F67DFD"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Heat and sunburn</w:t>
            </w:r>
          </w:p>
        </w:tc>
        <w:tc>
          <w:tcPr>
            <w:tcW w:w="2700" w:type="dxa"/>
          </w:tcPr>
          <w:p w14:paraId="7C4C1A17"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Reduced fruit temperature; increased fruit mass in some cultivars</w:t>
            </w:r>
          </w:p>
        </w:tc>
        <w:tc>
          <w:tcPr>
            <w:tcW w:w="2790" w:type="dxa"/>
          </w:tcPr>
          <w:p w14:paraId="0E91DF21"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Less effective than shading under high irradiance; water consumption</w:t>
            </w:r>
          </w:p>
        </w:tc>
        <w:tc>
          <w:tcPr>
            <w:tcW w:w="2160" w:type="dxa"/>
          </w:tcPr>
          <w:p w14:paraId="0D29AD1D"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Moderate</w:t>
            </w:r>
          </w:p>
        </w:tc>
        <w:tc>
          <w:tcPr>
            <w:tcW w:w="2324" w:type="dxa"/>
          </w:tcPr>
          <w:p w14:paraId="12E2E6E3" w14:textId="77777777" w:rsidR="004F6249" w:rsidRPr="002F7029" w:rsidRDefault="004F6249" w:rsidP="00B821B1">
            <w:pPr>
              <w:ind w:left="-16" w:right="-27"/>
              <w:contextualSpacing/>
              <w:rPr>
                <w:rFonts w:ascii="Times New Roman" w:eastAsia="Times New Roman" w:hAnsi="Times New Roman"/>
                <w:bCs/>
                <w:sz w:val="17"/>
                <w:szCs w:val="17"/>
                <w:lang w:val="en-IN"/>
              </w:rPr>
            </w:pPr>
            <w:proofErr w:type="spellStart"/>
            <w:r w:rsidRPr="002F7029">
              <w:rPr>
                <w:rFonts w:ascii="Times New Roman" w:eastAsia="Times New Roman" w:hAnsi="Times New Roman"/>
                <w:bCs/>
                <w:sz w:val="17"/>
                <w:szCs w:val="17"/>
                <w:lang w:val="en-IN"/>
              </w:rPr>
              <w:t>Gindaba</w:t>
            </w:r>
            <w:proofErr w:type="spellEnd"/>
            <w:r w:rsidRPr="002F7029">
              <w:rPr>
                <w:rFonts w:ascii="Times New Roman" w:eastAsia="Times New Roman" w:hAnsi="Times New Roman"/>
                <w:bCs/>
                <w:sz w:val="17"/>
                <w:szCs w:val="17"/>
                <w:lang w:val="en-IN"/>
              </w:rPr>
              <w:t xml:space="preserve"> &amp; Wand (2005); Hannah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(2013)</w:t>
            </w:r>
          </w:p>
        </w:tc>
      </w:tr>
      <w:tr w:rsidR="004F6249" w:rsidRPr="002F7029" w14:paraId="1C1A8400" w14:textId="77777777" w:rsidTr="00903213">
        <w:trPr>
          <w:trHeight w:val="20"/>
          <w:jc w:val="center"/>
        </w:trPr>
        <w:tc>
          <w:tcPr>
            <w:tcW w:w="1781" w:type="dxa"/>
          </w:tcPr>
          <w:p w14:paraId="5E2AEA7F"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Kaolin particle films</w:t>
            </w:r>
          </w:p>
        </w:tc>
        <w:tc>
          <w:tcPr>
            <w:tcW w:w="2160" w:type="dxa"/>
          </w:tcPr>
          <w:p w14:paraId="2F72E1BB"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Heat, radiation and sunburn</w:t>
            </w:r>
          </w:p>
        </w:tc>
        <w:tc>
          <w:tcPr>
            <w:tcW w:w="2700" w:type="dxa"/>
          </w:tcPr>
          <w:p w14:paraId="654A835F"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Reduced leaf and fruit temperature; sunburn reduction</w:t>
            </w:r>
          </w:p>
        </w:tc>
        <w:tc>
          <w:tcPr>
            <w:tcW w:w="2790" w:type="dxa"/>
          </w:tcPr>
          <w:p w14:paraId="769EB571"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Reduced light-saturated photosynthesis in some species; variable yield effects</w:t>
            </w:r>
          </w:p>
        </w:tc>
        <w:tc>
          <w:tcPr>
            <w:tcW w:w="2160" w:type="dxa"/>
          </w:tcPr>
          <w:p w14:paraId="41A39966"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Moderate, species-dependent</w:t>
            </w:r>
          </w:p>
        </w:tc>
        <w:tc>
          <w:tcPr>
            <w:tcW w:w="2324" w:type="dxa"/>
          </w:tcPr>
          <w:p w14:paraId="3C40C6E1" w14:textId="77777777" w:rsidR="004F6249" w:rsidRPr="002F7029" w:rsidRDefault="004F6249" w:rsidP="00B821B1">
            <w:pPr>
              <w:ind w:left="-16" w:right="-27"/>
              <w:contextualSpacing/>
              <w:rPr>
                <w:rFonts w:ascii="Times New Roman" w:eastAsia="Times New Roman" w:hAnsi="Times New Roman"/>
                <w:bCs/>
                <w:sz w:val="17"/>
                <w:szCs w:val="17"/>
                <w:lang w:val="en-IN"/>
              </w:rPr>
            </w:pPr>
            <w:proofErr w:type="spellStart"/>
            <w:r w:rsidRPr="002F7029">
              <w:rPr>
                <w:rFonts w:ascii="Times New Roman" w:eastAsia="Times New Roman" w:hAnsi="Times New Roman"/>
                <w:bCs/>
                <w:sz w:val="17"/>
                <w:szCs w:val="17"/>
                <w:lang w:val="en-IN"/>
              </w:rPr>
              <w:t>Gindaba</w:t>
            </w:r>
            <w:proofErr w:type="spellEnd"/>
            <w:r w:rsidRPr="002F7029">
              <w:rPr>
                <w:rFonts w:ascii="Times New Roman" w:eastAsia="Times New Roman" w:hAnsi="Times New Roman"/>
                <w:bCs/>
                <w:sz w:val="17"/>
                <w:szCs w:val="17"/>
                <w:lang w:val="en-IN"/>
              </w:rPr>
              <w:t xml:space="preserve"> &amp; Wand (2005); Glenn (2012); Rosati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(2006)</w:t>
            </w:r>
          </w:p>
        </w:tc>
      </w:tr>
      <w:tr w:rsidR="004F6249" w:rsidRPr="002F7029" w14:paraId="11AAE51B" w14:textId="77777777" w:rsidTr="00903213">
        <w:trPr>
          <w:trHeight w:val="20"/>
          <w:jc w:val="center"/>
        </w:trPr>
        <w:tc>
          <w:tcPr>
            <w:tcW w:w="1781" w:type="dxa"/>
          </w:tcPr>
          <w:p w14:paraId="4046BACF"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Agrivoltaic shading</w:t>
            </w:r>
          </w:p>
        </w:tc>
        <w:tc>
          <w:tcPr>
            <w:tcW w:w="2160" w:type="dxa"/>
          </w:tcPr>
          <w:p w14:paraId="747963A0"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Heat, radiation and water demand</w:t>
            </w:r>
          </w:p>
        </w:tc>
        <w:tc>
          <w:tcPr>
            <w:tcW w:w="2700" w:type="dxa"/>
          </w:tcPr>
          <w:p w14:paraId="6FEFD574"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Altered water relations; dual land use</w:t>
            </w:r>
          </w:p>
        </w:tc>
        <w:tc>
          <w:tcPr>
            <w:tcW w:w="2790" w:type="dxa"/>
          </w:tcPr>
          <w:p w14:paraId="5EDCA55F"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Yield and quality decline above roughly 30% shading; heterogeneous microclimate</w:t>
            </w:r>
          </w:p>
        </w:tc>
        <w:tc>
          <w:tcPr>
            <w:tcW w:w="2160" w:type="dxa"/>
          </w:tcPr>
          <w:p w14:paraId="51C10C72"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Preliminary</w:t>
            </w:r>
          </w:p>
        </w:tc>
        <w:tc>
          <w:tcPr>
            <w:tcW w:w="2324" w:type="dxa"/>
          </w:tcPr>
          <w:p w14:paraId="76075092"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Juillion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(2022); Magarelli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(2024)</w:t>
            </w:r>
          </w:p>
        </w:tc>
      </w:tr>
      <w:tr w:rsidR="004F6249" w:rsidRPr="002F7029" w14:paraId="15916C1B" w14:textId="77777777" w:rsidTr="00903213">
        <w:trPr>
          <w:trHeight w:val="20"/>
          <w:jc w:val="center"/>
        </w:trPr>
        <w:tc>
          <w:tcPr>
            <w:tcW w:w="1781" w:type="dxa"/>
          </w:tcPr>
          <w:p w14:paraId="6423FE38"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 xml:space="preserve">Overhead shade films and rain </w:t>
            </w:r>
            <w:proofErr w:type="gramStart"/>
            <w:r w:rsidRPr="002F7029">
              <w:rPr>
                <w:rFonts w:ascii="Times New Roman" w:eastAsia="Times New Roman" w:hAnsi="Times New Roman"/>
                <w:bCs/>
                <w:sz w:val="17"/>
                <w:szCs w:val="17"/>
                <w:lang w:val="en-IN"/>
              </w:rPr>
              <w:t>covers</w:t>
            </w:r>
            <w:proofErr w:type="gramEnd"/>
          </w:p>
        </w:tc>
        <w:tc>
          <w:tcPr>
            <w:tcW w:w="2160" w:type="dxa"/>
          </w:tcPr>
          <w:p w14:paraId="53DC9A23"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Heatwaves, rain-induced damage</w:t>
            </w:r>
          </w:p>
        </w:tc>
        <w:tc>
          <w:tcPr>
            <w:tcW w:w="2700" w:type="dxa"/>
          </w:tcPr>
          <w:p w14:paraId="51120ADA"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Preserved anthocyanins under heat; protection from rain</w:t>
            </w:r>
          </w:p>
        </w:tc>
        <w:tc>
          <w:tcPr>
            <w:tcW w:w="2790" w:type="dxa"/>
          </w:tcPr>
          <w:p w14:paraId="3C373ABE"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Reduced radiation; increased vegetative growth; cost</w:t>
            </w:r>
          </w:p>
        </w:tc>
        <w:tc>
          <w:tcPr>
            <w:tcW w:w="2160" w:type="dxa"/>
          </w:tcPr>
          <w:p w14:paraId="2DD553EE"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Preliminary to moderate</w:t>
            </w:r>
          </w:p>
        </w:tc>
        <w:tc>
          <w:tcPr>
            <w:tcW w:w="2324" w:type="dxa"/>
          </w:tcPr>
          <w:p w14:paraId="6C01A12F"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Marigliano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(2022); Pino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(2023)</w:t>
            </w:r>
          </w:p>
        </w:tc>
      </w:tr>
      <w:tr w:rsidR="004F6249" w:rsidRPr="002F7029" w14:paraId="467D094C" w14:textId="77777777" w:rsidTr="00903213">
        <w:trPr>
          <w:trHeight w:val="20"/>
          <w:jc w:val="center"/>
        </w:trPr>
        <w:tc>
          <w:tcPr>
            <w:tcW w:w="1781" w:type="dxa"/>
          </w:tcPr>
          <w:p w14:paraId="06ED0E2C"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Covers combined with mulching</w:t>
            </w:r>
          </w:p>
        </w:tc>
        <w:tc>
          <w:tcPr>
            <w:tcW w:w="2160" w:type="dxa"/>
          </w:tcPr>
          <w:p w14:paraId="4F45509A"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Evaporative demand</w:t>
            </w:r>
          </w:p>
        </w:tc>
        <w:tc>
          <w:tcPr>
            <w:tcW w:w="2700" w:type="dxa"/>
          </w:tcPr>
          <w:p w14:paraId="3131FAA3"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Lower orchard evapotranspiration and adjusted crop coefficients</w:t>
            </w:r>
          </w:p>
        </w:tc>
        <w:tc>
          <w:tcPr>
            <w:tcW w:w="2790" w:type="dxa"/>
          </w:tcPr>
          <w:p w14:paraId="65691F1F"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Requires integration with irrigation scheduling</w:t>
            </w:r>
          </w:p>
        </w:tc>
        <w:tc>
          <w:tcPr>
            <w:tcW w:w="2160" w:type="dxa"/>
          </w:tcPr>
          <w:p w14:paraId="0CDBD549"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Preliminary</w:t>
            </w:r>
          </w:p>
        </w:tc>
        <w:tc>
          <w:tcPr>
            <w:tcW w:w="2324" w:type="dxa"/>
          </w:tcPr>
          <w:p w14:paraId="68921002"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 xml:space="preserve">Campi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(2020); </w:t>
            </w:r>
            <w:proofErr w:type="spellStart"/>
            <w:r w:rsidRPr="002F7029">
              <w:rPr>
                <w:rFonts w:ascii="Times New Roman" w:eastAsia="Times New Roman" w:hAnsi="Times New Roman"/>
                <w:bCs/>
                <w:sz w:val="17"/>
                <w:szCs w:val="17"/>
                <w:lang w:val="en-IN"/>
              </w:rPr>
              <w:t>Moratiel</w:t>
            </w:r>
            <w:proofErr w:type="spellEnd"/>
            <w:r w:rsidRPr="002F7029">
              <w:rPr>
                <w:rFonts w:ascii="Times New Roman" w:eastAsia="Times New Roman" w:hAnsi="Times New Roman"/>
                <w:bCs/>
                <w:sz w:val="17"/>
                <w:szCs w:val="17"/>
                <w:lang w:val="en-IN"/>
              </w:rPr>
              <w:t xml:space="preserve"> &amp; Martínez-Cob (2012)</w:t>
            </w:r>
          </w:p>
        </w:tc>
      </w:tr>
      <w:tr w:rsidR="004F6249" w:rsidRPr="002F7029" w14:paraId="07AEA58F" w14:textId="77777777" w:rsidTr="00903213">
        <w:trPr>
          <w:trHeight w:val="20"/>
          <w:jc w:val="center"/>
        </w:trPr>
        <w:tc>
          <w:tcPr>
            <w:tcW w:w="1781" w:type="dxa"/>
          </w:tcPr>
          <w:p w14:paraId="45DA8A04"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Active frost protection</w:t>
            </w:r>
          </w:p>
        </w:tc>
        <w:tc>
          <w:tcPr>
            <w:tcW w:w="2160" w:type="dxa"/>
          </w:tcPr>
          <w:p w14:paraId="6BED9A63"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Spring frost</w:t>
            </w:r>
          </w:p>
        </w:tc>
        <w:tc>
          <w:tcPr>
            <w:tcW w:w="2700" w:type="dxa"/>
          </w:tcPr>
          <w:p w14:paraId="1548A720"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More consistent crops in frost years</w:t>
            </w:r>
          </w:p>
        </w:tc>
        <w:tc>
          <w:tcPr>
            <w:tcW w:w="2790" w:type="dxa"/>
          </w:tcPr>
          <w:p w14:paraId="1F40447A"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Capital cost; water use for frost irrigation; dependence on tissue rather than air temperature</w:t>
            </w:r>
          </w:p>
        </w:tc>
        <w:tc>
          <w:tcPr>
            <w:tcW w:w="2160" w:type="dxa"/>
          </w:tcPr>
          <w:p w14:paraId="7F8FCB97"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Moderate</w:t>
            </w:r>
          </w:p>
        </w:tc>
        <w:tc>
          <w:tcPr>
            <w:tcW w:w="2324" w:type="dxa"/>
          </w:tcPr>
          <w:p w14:paraId="4A8266CD" w14:textId="77777777" w:rsidR="004F6249" w:rsidRPr="002F7029" w:rsidRDefault="004F6249" w:rsidP="00B821B1">
            <w:pPr>
              <w:ind w:left="-16" w:right="-27"/>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Boekee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(2023); Caspersen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(2025); Poling (2008)</w:t>
            </w:r>
          </w:p>
        </w:tc>
      </w:tr>
    </w:tbl>
    <w:p w14:paraId="521225AE" w14:textId="2FC13189" w:rsidR="004F6249" w:rsidRPr="00903213" w:rsidRDefault="004F6249" w:rsidP="00B821B1">
      <w:pPr>
        <w:spacing w:after="0" w:line="240" w:lineRule="auto"/>
        <w:contextualSpacing/>
        <w:jc w:val="center"/>
        <w:rPr>
          <w:rFonts w:ascii="Times New Roman" w:eastAsia="Times New Roman" w:hAnsi="Times New Roman" w:cs="Times New Roman"/>
          <w:bCs/>
          <w:i/>
          <w:iCs/>
          <w:sz w:val="16"/>
          <w:szCs w:val="16"/>
          <w:lang w:val="en-IN"/>
        </w:rPr>
      </w:pPr>
      <w:r w:rsidRPr="00903213">
        <w:rPr>
          <w:rFonts w:ascii="Times New Roman" w:eastAsia="Times New Roman" w:hAnsi="Times New Roman" w:cs="Times New Roman"/>
          <w:bCs/>
          <w:i/>
          <w:iCs/>
          <w:sz w:val="16"/>
          <w:szCs w:val="16"/>
          <w:lang w:val="en-IN"/>
        </w:rPr>
        <w:t>Note. Evidence maturity categories follow the appraisal rubric described in Section 2.3. Percentage thresholds are reported as given in the cited studies and are not general recommendations</w:t>
      </w:r>
    </w:p>
    <w:p w14:paraId="51EC83F2" w14:textId="77777777" w:rsidR="001C1531"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32DC786C" w14:textId="77777777" w:rsidR="004F6249" w:rsidRDefault="004F6249" w:rsidP="00B821B1">
      <w:pPr>
        <w:spacing w:after="0" w:line="240" w:lineRule="auto"/>
        <w:contextualSpacing/>
        <w:jc w:val="both"/>
        <w:rPr>
          <w:rFonts w:ascii="Times New Roman" w:eastAsia="Times New Roman" w:hAnsi="Times New Roman" w:cs="Times New Roman"/>
          <w:bCs/>
          <w:sz w:val="17"/>
          <w:szCs w:val="17"/>
          <w:lang w:val="en-IN"/>
        </w:rPr>
        <w:sectPr w:rsidR="004F6249" w:rsidSect="004F6249">
          <w:pgSz w:w="16834" w:h="11909" w:orient="landscape" w:code="9"/>
          <w:pgMar w:top="1440" w:right="1440" w:bottom="1440" w:left="1440" w:header="720" w:footer="864" w:gutter="0"/>
          <w:cols w:space="720"/>
          <w:docGrid w:linePitch="360"/>
        </w:sectPr>
      </w:pPr>
    </w:p>
    <w:p w14:paraId="73A4E850" w14:textId="77777777" w:rsidR="00903213" w:rsidRPr="002F7029" w:rsidRDefault="00903213"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lastRenderedPageBreak/>
        <w:t xml:space="preserve">Evaporative cooling carries a further cost that is rarely quantified in trials, namely its water requirement. Analyses of viticultural adaptation have warned that maintaining fruit quality under warming through misting or sprinkling could increase freshwater use and create conflicts with conservation objectives (Hannah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2013). In regions where water scarcity is the binding constraint, evaporative cooling may transfer climatic risk from the fruit to the water budget.</w:t>
      </w:r>
    </w:p>
    <w:p w14:paraId="18713203" w14:textId="77777777" w:rsidR="00903213" w:rsidRPr="00903213" w:rsidRDefault="00903213" w:rsidP="00B821B1">
      <w:pPr>
        <w:spacing w:after="0" w:line="240" w:lineRule="auto"/>
        <w:contextualSpacing/>
        <w:jc w:val="both"/>
        <w:rPr>
          <w:rFonts w:ascii="Times New Roman" w:eastAsia="Times New Roman" w:hAnsi="Times New Roman" w:cs="Times New Roman"/>
          <w:bCs/>
          <w:sz w:val="18"/>
          <w:szCs w:val="18"/>
          <w:lang w:val="en-IN"/>
        </w:rPr>
      </w:pPr>
    </w:p>
    <w:p w14:paraId="49986027" w14:textId="77777777" w:rsidR="00903213" w:rsidRPr="002F7029" w:rsidRDefault="00903213" w:rsidP="00B821B1">
      <w:pPr>
        <w:pStyle w:val="Heading4"/>
        <w:keepNext w:val="0"/>
        <w:keepLines w:val="0"/>
        <w:rPr>
          <w:rFonts w:eastAsia="Times New Roman"/>
          <w:lang w:val="en-IN"/>
        </w:rPr>
      </w:pPr>
      <w:r w:rsidRPr="002F7029">
        <w:rPr>
          <w:rFonts w:eastAsia="Times New Roman"/>
          <w:lang w:val="en-IN"/>
        </w:rPr>
        <w:t>6.4 Agrivoltaic Systems, Overhead Covers and Shade Films</w:t>
      </w:r>
    </w:p>
    <w:p w14:paraId="75AD8172" w14:textId="77777777" w:rsidR="00903213" w:rsidRPr="00903213" w:rsidRDefault="00903213" w:rsidP="00B821B1">
      <w:pPr>
        <w:spacing w:after="0" w:line="240" w:lineRule="auto"/>
        <w:contextualSpacing/>
        <w:jc w:val="both"/>
        <w:rPr>
          <w:rFonts w:ascii="Times New Roman" w:eastAsia="Times New Roman" w:hAnsi="Times New Roman" w:cs="Times New Roman"/>
          <w:b/>
          <w:bCs/>
          <w:i/>
          <w:iCs/>
          <w:sz w:val="18"/>
          <w:szCs w:val="18"/>
          <w:lang w:val="en-IN"/>
        </w:rPr>
      </w:pPr>
    </w:p>
    <w:p w14:paraId="1C4BE4FB" w14:textId="77777777" w:rsidR="00903213" w:rsidRPr="002F7029" w:rsidRDefault="00903213"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Overhead structures that combine shading with other functions are increasingly evaluated in fruit crops. Shading apple trees with an agrivoltaic system affected tree water relations, leaf morphophysiological characteristics and yield determinants (</w:t>
      </w:r>
      <w:proofErr w:type="spellStart"/>
      <w:r w:rsidRPr="002F7029">
        <w:rPr>
          <w:rFonts w:ascii="Times New Roman" w:eastAsia="Times New Roman" w:hAnsi="Times New Roman" w:cs="Times New Roman"/>
          <w:bCs/>
          <w:sz w:val="17"/>
          <w:szCs w:val="17"/>
          <w:lang w:val="en-IN"/>
        </w:rPr>
        <w:t>Juillion</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2022). A critical review of agrivoltaic systems in fruit crops found strong spatial heterogeneity in microclimate beneath panels and recommended a shading threshold of about 30% to prevent substantial declines in fruit yield and quality, with heavier shading affecting leaf </w:t>
      </w:r>
      <w:proofErr w:type="spellStart"/>
      <w:r w:rsidRPr="002F7029">
        <w:rPr>
          <w:rFonts w:ascii="Times New Roman" w:eastAsia="Times New Roman" w:hAnsi="Times New Roman" w:cs="Times New Roman"/>
          <w:bCs/>
          <w:sz w:val="17"/>
          <w:szCs w:val="17"/>
          <w:lang w:val="en-IN"/>
        </w:rPr>
        <w:t>morphophysiology</w:t>
      </w:r>
      <w:proofErr w:type="spellEnd"/>
      <w:r w:rsidRPr="002F7029">
        <w:rPr>
          <w:rFonts w:ascii="Times New Roman" w:eastAsia="Times New Roman" w:hAnsi="Times New Roman" w:cs="Times New Roman"/>
          <w:bCs/>
          <w:sz w:val="17"/>
          <w:szCs w:val="17"/>
          <w:lang w:val="en-IN"/>
        </w:rPr>
        <w:t xml:space="preserve">, photosynthetic capacity and fruit dry matter accumulation (Magarelli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2024). The same review called for standardised indicators to allow comparison across studies, which reflects the current dependence of the field on a small number of site-specific experiments.</w:t>
      </w:r>
    </w:p>
    <w:p w14:paraId="66598D85" w14:textId="77777777" w:rsidR="00903213" w:rsidRPr="00903213" w:rsidRDefault="00903213" w:rsidP="00B821B1">
      <w:pPr>
        <w:spacing w:after="0" w:line="240" w:lineRule="auto"/>
        <w:contextualSpacing/>
        <w:jc w:val="both"/>
        <w:rPr>
          <w:rFonts w:ascii="Times New Roman" w:eastAsia="Times New Roman" w:hAnsi="Times New Roman" w:cs="Times New Roman"/>
          <w:bCs/>
          <w:sz w:val="18"/>
          <w:szCs w:val="18"/>
          <w:lang w:val="en-IN"/>
        </w:rPr>
      </w:pPr>
    </w:p>
    <w:p w14:paraId="1702B000"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Partial overhead shading can protect fruit composition during heatwaves. In a hot-climate Cabernet Sauvignon vineyard, </w:t>
      </w:r>
      <w:proofErr w:type="spellStart"/>
      <w:r w:rsidRPr="002F7029">
        <w:rPr>
          <w:rFonts w:ascii="Times New Roman" w:eastAsia="Times New Roman" w:hAnsi="Times New Roman" w:cs="Times New Roman"/>
          <w:bCs/>
          <w:sz w:val="17"/>
          <w:szCs w:val="17"/>
          <w:lang w:val="en-IN"/>
        </w:rPr>
        <w:t>photoselective</w:t>
      </w:r>
      <w:proofErr w:type="spellEnd"/>
      <w:r w:rsidRPr="002F7029">
        <w:rPr>
          <w:rFonts w:ascii="Times New Roman" w:eastAsia="Times New Roman" w:hAnsi="Times New Roman" w:cs="Times New Roman"/>
          <w:bCs/>
          <w:sz w:val="17"/>
          <w:szCs w:val="17"/>
          <w:lang w:val="en-IN"/>
        </w:rPr>
        <w:t xml:space="preserve"> shade films did not alter leaf gas exchange, midday stem water potential or yield, even though cluster-zone temperature reached 58 °C in the uncovered control, and they increased skin anthocyanin content by 27% in one of two years by reducing anthocyanin degradation (Marigliano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2022). Rain covers in sweet cherry (</w:t>
      </w:r>
      <w:r w:rsidRPr="002F7029">
        <w:rPr>
          <w:rFonts w:ascii="Times New Roman" w:eastAsia="Times New Roman" w:hAnsi="Times New Roman" w:cs="Times New Roman"/>
          <w:bCs/>
          <w:i/>
          <w:iCs/>
          <w:sz w:val="17"/>
          <w:szCs w:val="17"/>
          <w:lang w:val="en-IN"/>
        </w:rPr>
        <w:t>Prunus avium</w:t>
      </w:r>
      <w:r w:rsidRPr="002F7029">
        <w:rPr>
          <w:rFonts w:ascii="Times New Roman" w:eastAsia="Times New Roman" w:hAnsi="Times New Roman" w:cs="Times New Roman"/>
          <w:bCs/>
          <w:sz w:val="17"/>
          <w:szCs w:val="17"/>
          <w:lang w:val="en-IN"/>
        </w:rPr>
        <w:t xml:space="preserve"> L.) reduced total solar radiation by 50–60%, increased upper-canopy air temperature by 0.6 °C, reduced relative humidity and increased shoot length and leaf area (Pino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2023), which illustrates that covers installed for one hazard alter vegetative growth and potentially water demand. Covering structures can also reduce orchard water use. In a two-year peach study in southern Italy, a shading hail net reduced air temperature by about 1 °C, wind speed by 57% and solar radiation by 32% while increasing relative humidity, and the study examined how such microclimate modulation combined with limited irrigation and soil mulching could improve irrigation water-use efficiency (Campi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2020). In a table grape vineyard trained to a gable trellis under netting and black plastic mulch, experimentally derived crop coefficients reflected the reduction in evapotranspiration caused by the netting and mulch, and they agreed well with coefficients estimated by adjusting the standard procedure for these effects (</w:t>
      </w:r>
      <w:proofErr w:type="spellStart"/>
      <w:r w:rsidRPr="002F7029">
        <w:rPr>
          <w:rFonts w:ascii="Times New Roman" w:eastAsia="Times New Roman" w:hAnsi="Times New Roman" w:cs="Times New Roman"/>
          <w:bCs/>
          <w:sz w:val="17"/>
          <w:szCs w:val="17"/>
          <w:lang w:val="en-IN"/>
        </w:rPr>
        <w:t>Moratiel</w:t>
      </w:r>
      <w:proofErr w:type="spellEnd"/>
      <w:r w:rsidRPr="002F7029">
        <w:rPr>
          <w:rFonts w:ascii="Times New Roman" w:eastAsia="Times New Roman" w:hAnsi="Times New Roman" w:cs="Times New Roman"/>
          <w:bCs/>
          <w:sz w:val="17"/>
          <w:szCs w:val="17"/>
          <w:lang w:val="en-IN"/>
        </w:rPr>
        <w:t xml:space="preserve"> &amp; Martínez-Cob, 2012). These findings point to a potentially important but under-researched synergy between canopy covers and water-smart irrigation.</w:t>
      </w:r>
    </w:p>
    <w:p w14:paraId="2574585A"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5D26A01A"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6.5 Frost Protection in a Warming Climate</w:t>
      </w:r>
    </w:p>
    <w:p w14:paraId="7EDF7E66" w14:textId="77777777" w:rsidR="001C1531" w:rsidRPr="00903213" w:rsidRDefault="001C1531" w:rsidP="00B821B1">
      <w:pPr>
        <w:spacing w:after="0" w:line="240" w:lineRule="auto"/>
        <w:contextualSpacing/>
        <w:jc w:val="both"/>
        <w:rPr>
          <w:rFonts w:ascii="Times New Roman" w:eastAsia="Times New Roman" w:hAnsi="Times New Roman" w:cs="Times New Roman"/>
          <w:b/>
          <w:bCs/>
          <w:i/>
          <w:iCs/>
          <w:sz w:val="18"/>
          <w:szCs w:val="18"/>
          <w:lang w:val="en-IN"/>
        </w:rPr>
      </w:pPr>
    </w:p>
    <w:p w14:paraId="2DD8F6D0"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Where advancing phenology sustains or increases frost exposure, active frost protection becomes part of canopy and microclimate management. The choice of system depends on the type of frost, the cost of equipment and the reliability and simplicity of operation, and a correctly selected system can provide more consistent crops in years with damaging cold events (Poling, 2008). Wind machines protect crops by mixing warmer air from above the inversion into the canopy and by eroding the leaf boundary layer, so their effectiveness depends on plant tissue temperature rather than air temperature alone (</w:t>
      </w:r>
      <w:proofErr w:type="spellStart"/>
      <w:r w:rsidRPr="002F7029">
        <w:rPr>
          <w:rFonts w:ascii="Times New Roman" w:eastAsia="Times New Roman" w:hAnsi="Times New Roman" w:cs="Times New Roman"/>
          <w:bCs/>
          <w:sz w:val="17"/>
          <w:szCs w:val="17"/>
          <w:lang w:val="en-IN"/>
        </w:rPr>
        <w:t>Boekee</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2023). Frost irrigation is commonly triggered at fixed air temperature thresholds, such as −1 °C in a recent German apple study (Caspersen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2025), which links frost protection directly to water availability in spring. Late-flowering cultivars and careful site selection remain the most robust passive options, which reinforces the connection between canopy-level and genetic adaptation.</w:t>
      </w:r>
    </w:p>
    <w:p w14:paraId="6A682339"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77815C94"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6.6 Appraisal of the Canopy and Microclimate Lever</w:t>
      </w:r>
    </w:p>
    <w:p w14:paraId="165BEDC8" w14:textId="77777777" w:rsidR="001C1531" w:rsidRPr="00903213" w:rsidRDefault="001C1531" w:rsidP="00B821B1">
      <w:pPr>
        <w:spacing w:after="0" w:line="240" w:lineRule="auto"/>
        <w:contextualSpacing/>
        <w:jc w:val="both"/>
        <w:rPr>
          <w:rFonts w:ascii="Times New Roman" w:eastAsia="Times New Roman" w:hAnsi="Times New Roman" w:cs="Times New Roman"/>
          <w:b/>
          <w:bCs/>
          <w:i/>
          <w:iCs/>
          <w:sz w:val="18"/>
          <w:szCs w:val="18"/>
          <w:lang w:val="en-IN"/>
        </w:rPr>
      </w:pPr>
    </w:p>
    <w:p w14:paraId="38C9A3DC"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canopy lever is supported by consistent short-term evidence for reduced fruit temperature and sunburn, and by more variable evidence for improved tree water status under nets and shade structures. Its weaknesses are the context-dependence of quality responses, the near-universal trade-off with red colour development, the water cost of evaporative cooling, the scarcity of multi-season agrivoltaic data and emerging evidence of ecological side effects. Few studies have measured the combined effect of netting with deficit irrigation, rootstock vigour or cultivar choice, although each of these interactions is mechanistically plausible.</w:t>
      </w:r>
    </w:p>
    <w:p w14:paraId="3AF7ED5F"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2A9FFFC5"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interventions considered in this section are compared in Table 5 according to the hazard addressed, the documented benefits, the principal trade-offs and the maturity of the evidence. The comparison indicates that netting and evaporative cooling are the most mature interventions, that particle films and shade films have narrower and more variable benefits, and that agrivoltaic systems remain at an early stage of evaluation.</w:t>
      </w:r>
    </w:p>
    <w:p w14:paraId="44929738" w14:textId="545A3173"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1B6EC21A" w14:textId="77777777" w:rsidR="001C1531" w:rsidRPr="002F7029" w:rsidRDefault="001C1531" w:rsidP="00B821B1">
      <w:pPr>
        <w:pStyle w:val="Heading3"/>
        <w:keepNext w:val="0"/>
        <w:keepLines w:val="0"/>
        <w:rPr>
          <w:rFonts w:eastAsia="Times New Roman"/>
          <w:lang w:val="en-IN"/>
        </w:rPr>
      </w:pPr>
      <w:r w:rsidRPr="002F7029">
        <w:rPr>
          <w:rFonts w:eastAsia="Times New Roman"/>
          <w:lang w:val="en-IN"/>
        </w:rPr>
        <w:t>7. Water-Smart Horticulture: Deficit Irrigation, Monitoring and Alternative Water</w:t>
      </w:r>
    </w:p>
    <w:p w14:paraId="19299E5E" w14:textId="77777777" w:rsidR="001C1531" w:rsidRPr="00903213" w:rsidRDefault="001C1531" w:rsidP="00B821B1">
      <w:pPr>
        <w:spacing w:after="0" w:line="240" w:lineRule="auto"/>
        <w:contextualSpacing/>
        <w:jc w:val="both"/>
        <w:rPr>
          <w:rFonts w:ascii="Times New Roman" w:eastAsia="Times New Roman" w:hAnsi="Times New Roman" w:cs="Times New Roman"/>
          <w:b/>
          <w:bCs/>
          <w:sz w:val="18"/>
          <w:szCs w:val="18"/>
          <w:lang w:val="en-IN"/>
        </w:rPr>
      </w:pPr>
    </w:p>
    <w:p w14:paraId="03192715"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Irrigation is the most direct means of buffering orchards against drought, but it is also the lever most exposed to climate change, because declining precipitation and rising evaporative demand reduce the water available precisely when crop demand increases. Water-smart horticulture therefore aims to maximise production per unit of water consumed rather than per unit of land (</w:t>
      </w:r>
      <w:proofErr w:type="spellStart"/>
      <w:r w:rsidRPr="002F7029">
        <w:rPr>
          <w:rFonts w:ascii="Times New Roman" w:eastAsia="Times New Roman" w:hAnsi="Times New Roman" w:cs="Times New Roman"/>
          <w:bCs/>
          <w:sz w:val="17"/>
          <w:szCs w:val="17"/>
          <w:lang w:val="en-IN"/>
        </w:rPr>
        <w:t>Fereres</w:t>
      </w:r>
      <w:proofErr w:type="spellEnd"/>
      <w:r w:rsidRPr="002F7029">
        <w:rPr>
          <w:rFonts w:ascii="Times New Roman" w:eastAsia="Times New Roman" w:hAnsi="Times New Roman" w:cs="Times New Roman"/>
          <w:bCs/>
          <w:sz w:val="17"/>
          <w:szCs w:val="17"/>
          <w:lang w:val="en-IN"/>
        </w:rPr>
        <w:t xml:space="preserve"> &amp; Soriano, 2007). This section appraises deficit irrigation strategies, the monitoring tools required to implement them, the use of marginal water sources and soil-water conservation practices.</w:t>
      </w:r>
    </w:p>
    <w:p w14:paraId="2FE19E51"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76FCF69D"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7.1 Regulated and Sustained Deficit Irrigation</w:t>
      </w:r>
    </w:p>
    <w:p w14:paraId="7EFD3BCB" w14:textId="77777777" w:rsidR="001C1531" w:rsidRPr="00903213" w:rsidRDefault="001C1531" w:rsidP="00B821B1">
      <w:pPr>
        <w:spacing w:after="0" w:line="240" w:lineRule="auto"/>
        <w:contextualSpacing/>
        <w:jc w:val="both"/>
        <w:rPr>
          <w:rFonts w:ascii="Times New Roman" w:eastAsia="Times New Roman" w:hAnsi="Times New Roman" w:cs="Times New Roman"/>
          <w:b/>
          <w:bCs/>
          <w:i/>
          <w:iCs/>
          <w:sz w:val="18"/>
          <w:szCs w:val="18"/>
          <w:lang w:val="en-IN"/>
        </w:rPr>
      </w:pPr>
    </w:p>
    <w:p w14:paraId="618DE8C2"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Deficit irrigation applies less water than full crop evapotranspiration, either uniformly through the season as sustained deficit irrigation or concentrated in phenological stages that are relatively insensitive to water stress as regulated deficit irrigation (RDI). The concept of RDI originated in ultra-dense peach orchards, where restricted water supply during periods of rapid shoot </w:t>
      </w:r>
      <w:proofErr w:type="gramStart"/>
      <w:r w:rsidRPr="002F7029">
        <w:rPr>
          <w:rFonts w:ascii="Times New Roman" w:eastAsia="Times New Roman" w:hAnsi="Times New Roman" w:cs="Times New Roman"/>
          <w:bCs/>
          <w:sz w:val="17"/>
          <w:szCs w:val="17"/>
          <w:lang w:val="en-IN"/>
        </w:rPr>
        <w:t xml:space="preserve">growth </w:t>
      </w:r>
      <w:r w:rsidRPr="002F7029">
        <w:rPr>
          <w:rFonts w:ascii="Times New Roman" w:eastAsia="Times New Roman" w:hAnsi="Times New Roman" w:cs="Times New Roman"/>
          <w:bCs/>
          <w:sz w:val="17"/>
          <w:szCs w:val="17"/>
          <w:lang w:val="en-IN"/>
        </w:rPr>
        <w:lastRenderedPageBreak/>
        <w:t>controlled</w:t>
      </w:r>
      <w:proofErr w:type="gramEnd"/>
      <w:r w:rsidRPr="002F7029">
        <w:rPr>
          <w:rFonts w:ascii="Times New Roman" w:eastAsia="Times New Roman" w:hAnsi="Times New Roman" w:cs="Times New Roman"/>
          <w:bCs/>
          <w:sz w:val="17"/>
          <w:szCs w:val="17"/>
          <w:lang w:val="en-IN"/>
        </w:rPr>
        <w:t xml:space="preserve"> vigour while subsequent fruit growth was maintained or stimulated (Chalmers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1981). Woody perennial crops are particularly suited to RDI because yield in many species depends on fruit growth during specific stages, while vegetative growth or the postharvest period can tolerate deficit (</w:t>
      </w:r>
      <w:proofErr w:type="spellStart"/>
      <w:r w:rsidRPr="002F7029">
        <w:rPr>
          <w:rFonts w:ascii="Times New Roman" w:eastAsia="Times New Roman" w:hAnsi="Times New Roman" w:cs="Times New Roman"/>
          <w:bCs/>
          <w:sz w:val="17"/>
          <w:szCs w:val="17"/>
          <w:lang w:val="en-IN"/>
        </w:rPr>
        <w:t>Fereres</w:t>
      </w:r>
      <w:proofErr w:type="spellEnd"/>
      <w:r w:rsidRPr="002F7029">
        <w:rPr>
          <w:rFonts w:ascii="Times New Roman" w:eastAsia="Times New Roman" w:hAnsi="Times New Roman" w:cs="Times New Roman"/>
          <w:bCs/>
          <w:sz w:val="17"/>
          <w:szCs w:val="17"/>
          <w:lang w:val="en-IN"/>
        </w:rPr>
        <w:t xml:space="preserve"> &amp; Soriano, 2007; Ruiz-Sánchez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2010). A broad review of RDI identified partial root-zone irrigation as its most widely used form, with irrigation savings of 20–30% and little or no yield penalty in many field crops and some woody crops, attributed to optimised stomatal control, increased root-to-shoot ratio and reduced soil evaporation, while noting that the mechanisms through which RDI maintains production in practice remain incompletely understood (Chai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2016).</w:t>
      </w:r>
    </w:p>
    <w:p w14:paraId="4FFEE372"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1C2757D6"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Field evidence from fruit trees supports these principles but also defines their limits. In sweet cherry, a four-year experiment showed that RDI applied after harvest saved 39% of irrigation water relative to the control without reducing yield or the fruit quality parameters measured, whereas sustained deficit irrigation tended to produce smaller fruit (Blanco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2019). In a mature almond orchard monitored for six years, two moderate deficit treatments receiving 65% of full irrigation did not differ significantly in yield, partly because stored soil water buffered the reductions, and water production functions did not change between the first and second three-year periods, which indicates no cumulative yield decline over that time; crop evapotranspiration rather than applied irrigation was often the main driver of productivity (</w:t>
      </w:r>
      <w:proofErr w:type="spellStart"/>
      <w:r w:rsidRPr="002F7029">
        <w:rPr>
          <w:rFonts w:ascii="Times New Roman" w:eastAsia="Times New Roman" w:hAnsi="Times New Roman" w:cs="Times New Roman"/>
          <w:bCs/>
          <w:sz w:val="17"/>
          <w:szCs w:val="17"/>
          <w:lang w:val="en-IN"/>
        </w:rPr>
        <w:t>Moldero</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2021). Almond yield has also been related quantitatively to transpiration deficits (López-López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2018), and similar transpiration-based analyses have been reported for mandarin and late-maturing oranges (Gonzalez-Dugo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2018). In a Moroccan apple orchard assessed explicitly as a climate adaptation strategy, irrigation at 75% of crop evapotranspiration increased yield, whereas 50% throughout the season failed to maintain acceptable fruit size in all three years, although it gave the firmest and sweetest fruit (El Jaouhari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2018). For underused crops such as jujube (</w:t>
      </w:r>
      <w:r w:rsidRPr="002F7029">
        <w:rPr>
          <w:rFonts w:ascii="Times New Roman" w:eastAsia="Times New Roman" w:hAnsi="Times New Roman" w:cs="Times New Roman"/>
          <w:bCs/>
          <w:i/>
          <w:iCs/>
          <w:sz w:val="17"/>
          <w:szCs w:val="17"/>
          <w:lang w:val="en-IN"/>
        </w:rPr>
        <w:t>Ziziphus jujuba</w:t>
      </w:r>
      <w:r w:rsidRPr="002F7029">
        <w:rPr>
          <w:rFonts w:ascii="Times New Roman" w:eastAsia="Times New Roman" w:hAnsi="Times New Roman" w:cs="Times New Roman"/>
          <w:bCs/>
          <w:sz w:val="17"/>
          <w:szCs w:val="17"/>
          <w:lang w:val="en-IN"/>
        </w:rPr>
        <w:t xml:space="preserve"> Mill.), loquat (</w:t>
      </w:r>
      <w:r w:rsidRPr="002F7029">
        <w:rPr>
          <w:rFonts w:ascii="Times New Roman" w:eastAsia="Times New Roman" w:hAnsi="Times New Roman" w:cs="Times New Roman"/>
          <w:bCs/>
          <w:i/>
          <w:iCs/>
          <w:sz w:val="17"/>
          <w:szCs w:val="17"/>
          <w:lang w:val="en-IN"/>
        </w:rPr>
        <w:t>Eriobotrya japonica</w:t>
      </w:r>
      <w:r w:rsidRPr="002F7029">
        <w:rPr>
          <w:rFonts w:ascii="Times New Roman" w:eastAsia="Times New Roman" w:hAnsi="Times New Roman" w:cs="Times New Roman"/>
          <w:bCs/>
          <w:sz w:val="17"/>
          <w:szCs w:val="17"/>
          <w:lang w:val="en-IN"/>
        </w:rPr>
        <w:t xml:space="preserve"> (</w:t>
      </w:r>
      <w:proofErr w:type="spellStart"/>
      <w:r w:rsidRPr="002F7029">
        <w:rPr>
          <w:rFonts w:ascii="Times New Roman" w:eastAsia="Times New Roman" w:hAnsi="Times New Roman" w:cs="Times New Roman"/>
          <w:bCs/>
          <w:sz w:val="17"/>
          <w:szCs w:val="17"/>
          <w:lang w:val="en-IN"/>
        </w:rPr>
        <w:t>Thunb</w:t>
      </w:r>
      <w:proofErr w:type="spellEnd"/>
      <w:r w:rsidRPr="002F7029">
        <w:rPr>
          <w:rFonts w:ascii="Times New Roman" w:eastAsia="Times New Roman" w:hAnsi="Times New Roman" w:cs="Times New Roman"/>
          <w:bCs/>
          <w:sz w:val="17"/>
          <w:szCs w:val="17"/>
          <w:lang w:val="en-IN"/>
        </w:rPr>
        <w:t>.) Lindl.), pistachio (</w:t>
      </w:r>
      <w:r w:rsidRPr="002F7029">
        <w:rPr>
          <w:rFonts w:ascii="Times New Roman" w:eastAsia="Times New Roman" w:hAnsi="Times New Roman" w:cs="Times New Roman"/>
          <w:bCs/>
          <w:i/>
          <w:iCs/>
          <w:sz w:val="17"/>
          <w:szCs w:val="17"/>
          <w:lang w:val="en-IN"/>
        </w:rPr>
        <w:t>Pistacia vera</w:t>
      </w:r>
      <w:r w:rsidRPr="002F7029">
        <w:rPr>
          <w:rFonts w:ascii="Times New Roman" w:eastAsia="Times New Roman" w:hAnsi="Times New Roman" w:cs="Times New Roman"/>
          <w:bCs/>
          <w:sz w:val="17"/>
          <w:szCs w:val="17"/>
          <w:lang w:val="en-IN"/>
        </w:rPr>
        <w:t xml:space="preserve"> L.) and pomegranate (</w:t>
      </w:r>
      <w:r w:rsidRPr="002F7029">
        <w:rPr>
          <w:rFonts w:ascii="Times New Roman" w:eastAsia="Times New Roman" w:hAnsi="Times New Roman" w:cs="Times New Roman"/>
          <w:bCs/>
          <w:i/>
          <w:iCs/>
          <w:sz w:val="17"/>
          <w:szCs w:val="17"/>
          <w:lang w:val="en-IN"/>
        </w:rPr>
        <w:t>Punica granatum</w:t>
      </w:r>
      <w:r w:rsidRPr="002F7029">
        <w:rPr>
          <w:rFonts w:ascii="Times New Roman" w:eastAsia="Times New Roman" w:hAnsi="Times New Roman" w:cs="Times New Roman"/>
          <w:bCs/>
          <w:sz w:val="17"/>
          <w:szCs w:val="17"/>
          <w:lang w:val="en-IN"/>
        </w:rPr>
        <w:t xml:space="preserve"> L.), tolerance of deficit irrigation has been proposed as a basis for diversifying production in Mediterranean semi-arid areas (Galindo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2018).</w:t>
      </w:r>
    </w:p>
    <w:p w14:paraId="1171F123"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2C615BCC"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Two features of this evidence deserve emphasis. First, the outcome of deficit irrigation depends on soil water storage, crop phenology and the severity of stress, so that the same nominal reduction in applied water can be benign in deep soils and damaging in shallow ones (</w:t>
      </w:r>
      <w:proofErr w:type="spellStart"/>
      <w:r w:rsidRPr="002F7029">
        <w:rPr>
          <w:rFonts w:ascii="Times New Roman" w:eastAsia="Times New Roman" w:hAnsi="Times New Roman" w:cs="Times New Roman"/>
          <w:bCs/>
          <w:sz w:val="17"/>
          <w:szCs w:val="17"/>
          <w:lang w:val="en-IN"/>
        </w:rPr>
        <w:t>Moldero</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2021). Second, most trials report yield, fruit size and soluble solids, but few report fruit temperature or sunburn, even though water deficit aggravates sunburn in grapevine (J. M. Gambetta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2021). Deficit irrigation programmes designed for average seasons have rarely been tested during heatwaves, when the reduction in </w:t>
      </w:r>
      <w:proofErr w:type="spellStart"/>
      <w:r w:rsidRPr="002F7029">
        <w:rPr>
          <w:rFonts w:ascii="Times New Roman" w:eastAsia="Times New Roman" w:hAnsi="Times New Roman" w:cs="Times New Roman"/>
          <w:bCs/>
          <w:sz w:val="17"/>
          <w:szCs w:val="17"/>
          <w:lang w:val="en-IN"/>
        </w:rPr>
        <w:t>transpirational</w:t>
      </w:r>
      <w:proofErr w:type="spellEnd"/>
      <w:r w:rsidRPr="002F7029">
        <w:rPr>
          <w:rFonts w:ascii="Times New Roman" w:eastAsia="Times New Roman" w:hAnsi="Times New Roman" w:cs="Times New Roman"/>
          <w:bCs/>
          <w:sz w:val="17"/>
          <w:szCs w:val="17"/>
          <w:lang w:val="en-IN"/>
        </w:rPr>
        <w:t xml:space="preserve"> cooling may coincide with the highest radiant load on fruit.</w:t>
      </w:r>
    </w:p>
    <w:p w14:paraId="416CB466"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2E0B7DA6"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7.2 Partial Root-Zone Drying</w:t>
      </w:r>
    </w:p>
    <w:p w14:paraId="7BFE33DE" w14:textId="77777777" w:rsidR="001C1531" w:rsidRPr="002F7029" w:rsidRDefault="001C1531" w:rsidP="00B821B1">
      <w:pPr>
        <w:spacing w:after="0" w:line="240" w:lineRule="auto"/>
        <w:contextualSpacing/>
        <w:jc w:val="both"/>
        <w:rPr>
          <w:rFonts w:ascii="Times New Roman" w:eastAsia="Times New Roman" w:hAnsi="Times New Roman" w:cs="Times New Roman"/>
          <w:b/>
          <w:bCs/>
          <w:i/>
          <w:iCs/>
          <w:sz w:val="17"/>
          <w:szCs w:val="17"/>
          <w:lang w:val="en-IN"/>
        </w:rPr>
      </w:pPr>
    </w:p>
    <w:p w14:paraId="09E0094C"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Partial root-zone drying (PRD) alternately irrigates one side of the root system while the other side dries, with the intention of generating root-sourced signals that reduce stomatal opening and vegetative growth without severe shoot water deficit (Kang &amp; Zhang, 2004). In irrigated grapevine, PRD increased ABA concentration in drying roots about tenfold, reduced stomatal conductance and was reported to improve water-use efficiency by up to 50% without significant yield reduction (Stoll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2000). Field trials in Portugal found that PRD vines receiving 50% of crop evapotranspiration controlled vegetative growth more strongly than vines under conventional deficit irrigation with the same water volume, improving light interception in the cluster zone and limiting the reduction in skin anthocyanins and phenols (dos Santos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2003), and a three-year comparison reported that both PRD and deficit irrigation at half of full requirements maintained production, with some quality gains under PRD (Chaves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2007).</w:t>
      </w:r>
    </w:p>
    <w:p w14:paraId="00241936"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72D160BA"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The physiological premise of PRD has been questioned for sparse tree canopies. The original analysis of controlled alternate partial root-zone irrigation noted that stomatal control is only part of total </w:t>
      </w:r>
      <w:proofErr w:type="spellStart"/>
      <w:r w:rsidRPr="002F7029">
        <w:rPr>
          <w:rFonts w:ascii="Times New Roman" w:eastAsia="Times New Roman" w:hAnsi="Times New Roman" w:cs="Times New Roman"/>
          <w:bCs/>
          <w:sz w:val="17"/>
          <w:szCs w:val="17"/>
          <w:lang w:val="en-IN"/>
        </w:rPr>
        <w:t>transpirational</w:t>
      </w:r>
      <w:proofErr w:type="spellEnd"/>
      <w:r w:rsidRPr="002F7029">
        <w:rPr>
          <w:rFonts w:ascii="Times New Roman" w:eastAsia="Times New Roman" w:hAnsi="Times New Roman" w:cs="Times New Roman"/>
          <w:bCs/>
          <w:sz w:val="17"/>
          <w:szCs w:val="17"/>
          <w:lang w:val="en-IN"/>
        </w:rPr>
        <w:t xml:space="preserve"> resistance, that reductions in stomatal conductance may be partly offset by rising leaf temperature, and that it is uncertain how long partial stomatal closure persists under repeated drying cycles (Kang &amp; Zhang, 2004). Reviews of grapevine deficit irrigation have also emphasised that varietal differences between more isohydric and more </w:t>
      </w:r>
      <w:proofErr w:type="spellStart"/>
      <w:r w:rsidRPr="002F7029">
        <w:rPr>
          <w:rFonts w:ascii="Times New Roman" w:eastAsia="Times New Roman" w:hAnsi="Times New Roman" w:cs="Times New Roman"/>
          <w:bCs/>
          <w:sz w:val="17"/>
          <w:szCs w:val="17"/>
          <w:lang w:val="en-IN"/>
        </w:rPr>
        <w:t>anisohydric</w:t>
      </w:r>
      <w:proofErr w:type="spellEnd"/>
      <w:r w:rsidRPr="002F7029">
        <w:rPr>
          <w:rFonts w:ascii="Times New Roman" w:eastAsia="Times New Roman" w:hAnsi="Times New Roman" w:cs="Times New Roman"/>
          <w:bCs/>
          <w:sz w:val="17"/>
          <w:szCs w:val="17"/>
          <w:lang w:val="en-IN"/>
        </w:rPr>
        <w:t xml:space="preserve"> behaviour modify responses to soil drying (Chaves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2010). On balance, the evidence supports PRD as an effective form of deficit irrigation, but whether it offers consistent advantages over conventional deficit irrigation at equal water volumes in fruit trees has not been established across species and climates.</w:t>
      </w:r>
    </w:p>
    <w:p w14:paraId="6E32E6A0"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6578C1A5"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7.3 Plant-Based and Remote Sensing for Irrigation Scheduling</w:t>
      </w:r>
    </w:p>
    <w:p w14:paraId="73E216A8" w14:textId="77777777" w:rsidR="001C1531" w:rsidRPr="002F7029" w:rsidRDefault="001C1531" w:rsidP="00B821B1">
      <w:pPr>
        <w:spacing w:after="0" w:line="240" w:lineRule="auto"/>
        <w:contextualSpacing/>
        <w:jc w:val="both"/>
        <w:rPr>
          <w:rFonts w:ascii="Times New Roman" w:eastAsia="Times New Roman" w:hAnsi="Times New Roman" w:cs="Times New Roman"/>
          <w:b/>
          <w:bCs/>
          <w:i/>
          <w:iCs/>
          <w:sz w:val="17"/>
          <w:szCs w:val="17"/>
          <w:lang w:val="en-IN"/>
        </w:rPr>
      </w:pPr>
    </w:p>
    <w:p w14:paraId="64A9BD5E"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Deficit irrigation requires accurate knowledge of tree water status. Midday stem water potential (</w:t>
      </w:r>
      <w:proofErr w:type="spellStart"/>
      <w:r w:rsidRPr="002F7029">
        <w:rPr>
          <w:rFonts w:ascii="Times New Roman" w:eastAsia="Times New Roman" w:hAnsi="Times New Roman" w:cs="Times New Roman"/>
          <w:bCs/>
          <w:sz w:val="17"/>
          <w:szCs w:val="17"/>
          <w:lang w:val="en-IN"/>
        </w:rPr>
        <w:t>Ψstem</w:t>
      </w:r>
      <w:proofErr w:type="spellEnd"/>
      <w:r w:rsidRPr="002F7029">
        <w:rPr>
          <w:rFonts w:ascii="Times New Roman" w:eastAsia="Times New Roman" w:hAnsi="Times New Roman" w:cs="Times New Roman"/>
          <w:bCs/>
          <w:sz w:val="17"/>
          <w:szCs w:val="17"/>
          <w:lang w:val="en-IN"/>
        </w:rPr>
        <w:t xml:space="preserve">) measured with a pressure chamber was shown to be less variable than leaf water potential and closely related to vapour pressure deficit, allowing it to detect moderate stress that leaf water potential missed (McCutchan &amp; </w:t>
      </w:r>
      <w:proofErr w:type="spellStart"/>
      <w:r w:rsidRPr="002F7029">
        <w:rPr>
          <w:rFonts w:ascii="Times New Roman" w:eastAsia="Times New Roman" w:hAnsi="Times New Roman" w:cs="Times New Roman"/>
          <w:bCs/>
          <w:sz w:val="17"/>
          <w:szCs w:val="17"/>
          <w:lang w:val="en-IN"/>
        </w:rPr>
        <w:t>Shackel</w:t>
      </w:r>
      <w:proofErr w:type="spellEnd"/>
      <w:r w:rsidRPr="002F7029">
        <w:rPr>
          <w:rFonts w:ascii="Times New Roman" w:eastAsia="Times New Roman" w:hAnsi="Times New Roman" w:cs="Times New Roman"/>
          <w:bCs/>
          <w:sz w:val="17"/>
          <w:szCs w:val="17"/>
          <w:lang w:val="en-IN"/>
        </w:rPr>
        <w:t>, 1992). Continuous indicators such as maximum daily trunk shrinkage (MDS) and sap flow have since been developed. In early-maturing peach, MDS was more sensitive than sap flow to changes in water status (</w:t>
      </w:r>
      <w:proofErr w:type="spellStart"/>
      <w:r w:rsidRPr="002F7029">
        <w:rPr>
          <w:rFonts w:ascii="Times New Roman" w:eastAsia="Times New Roman" w:hAnsi="Times New Roman" w:cs="Times New Roman"/>
          <w:bCs/>
          <w:sz w:val="17"/>
          <w:szCs w:val="17"/>
          <w:lang w:val="en-IN"/>
        </w:rPr>
        <w:t>Conejero</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2007), and reference values for </w:t>
      </w:r>
      <w:proofErr w:type="spellStart"/>
      <w:r w:rsidRPr="002F7029">
        <w:rPr>
          <w:rFonts w:ascii="Times New Roman" w:eastAsia="Times New Roman" w:hAnsi="Times New Roman" w:cs="Times New Roman"/>
          <w:bCs/>
          <w:sz w:val="17"/>
          <w:szCs w:val="17"/>
          <w:lang w:val="en-IN"/>
        </w:rPr>
        <w:t>Ψstem</w:t>
      </w:r>
      <w:proofErr w:type="spellEnd"/>
      <w:r w:rsidRPr="002F7029">
        <w:rPr>
          <w:rFonts w:ascii="Times New Roman" w:eastAsia="Times New Roman" w:hAnsi="Times New Roman" w:cs="Times New Roman"/>
          <w:bCs/>
          <w:sz w:val="17"/>
          <w:szCs w:val="17"/>
          <w:lang w:val="en-IN"/>
        </w:rPr>
        <w:t xml:space="preserve"> and MDS have been determined for young apple trees on the basis of plant responses to water deficit (De </w:t>
      </w:r>
      <w:proofErr w:type="spellStart"/>
      <w:r w:rsidRPr="002F7029">
        <w:rPr>
          <w:rFonts w:ascii="Times New Roman" w:eastAsia="Times New Roman" w:hAnsi="Times New Roman" w:cs="Times New Roman"/>
          <w:bCs/>
          <w:sz w:val="17"/>
          <w:szCs w:val="17"/>
          <w:lang w:val="en-IN"/>
        </w:rPr>
        <w:t>Swaef</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2009). Reviews of plant-based methods have concluded that they are well suited to woody crops but that their use in commercial orchards is limited by sensor maintenance, tree-to-tree variability and the need for site-specific reference values and thresholds (J. E. Fernández, 2014, 2017). Stem-embedded </w:t>
      </w:r>
      <w:proofErr w:type="spellStart"/>
      <w:r w:rsidRPr="002F7029">
        <w:rPr>
          <w:rFonts w:ascii="Times New Roman" w:eastAsia="Times New Roman" w:hAnsi="Times New Roman" w:cs="Times New Roman"/>
          <w:bCs/>
          <w:sz w:val="17"/>
          <w:szCs w:val="17"/>
          <w:lang w:val="en-IN"/>
        </w:rPr>
        <w:t>microtensiometers</w:t>
      </w:r>
      <w:proofErr w:type="spellEnd"/>
      <w:r w:rsidRPr="002F7029">
        <w:rPr>
          <w:rFonts w:ascii="Times New Roman" w:eastAsia="Times New Roman" w:hAnsi="Times New Roman" w:cs="Times New Roman"/>
          <w:bCs/>
          <w:sz w:val="17"/>
          <w:szCs w:val="17"/>
          <w:lang w:val="en-IN"/>
        </w:rPr>
        <w:t xml:space="preserve"> now provide continuous </w:t>
      </w:r>
      <w:proofErr w:type="spellStart"/>
      <w:r w:rsidRPr="002F7029">
        <w:rPr>
          <w:rFonts w:ascii="Times New Roman" w:eastAsia="Times New Roman" w:hAnsi="Times New Roman" w:cs="Times New Roman"/>
          <w:bCs/>
          <w:sz w:val="17"/>
          <w:szCs w:val="17"/>
          <w:lang w:val="en-IN"/>
        </w:rPr>
        <w:t>Ψstem</w:t>
      </w:r>
      <w:proofErr w:type="spellEnd"/>
      <w:r w:rsidRPr="002F7029">
        <w:rPr>
          <w:rFonts w:ascii="Times New Roman" w:eastAsia="Times New Roman" w:hAnsi="Times New Roman" w:cs="Times New Roman"/>
          <w:bCs/>
          <w:sz w:val="17"/>
          <w:szCs w:val="17"/>
          <w:lang w:val="en-IN"/>
        </w:rPr>
        <w:t xml:space="preserve"> readings that correlate well with pressure-chamber measurements, although maintaining contact with the xylem over long periods remains a challenge (Lakso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2022). In a commercial 'Honeycrisp' orchard on M.9 rootstock, all indicators derived from </w:t>
      </w:r>
      <w:proofErr w:type="spellStart"/>
      <w:r w:rsidRPr="002F7029">
        <w:rPr>
          <w:rFonts w:ascii="Times New Roman" w:eastAsia="Times New Roman" w:hAnsi="Times New Roman" w:cs="Times New Roman"/>
          <w:bCs/>
          <w:sz w:val="17"/>
          <w:szCs w:val="17"/>
          <w:lang w:val="en-IN"/>
        </w:rPr>
        <w:t>microtensiometer</w:t>
      </w:r>
      <w:proofErr w:type="spellEnd"/>
      <w:r w:rsidRPr="002F7029">
        <w:rPr>
          <w:rFonts w:ascii="Times New Roman" w:eastAsia="Times New Roman" w:hAnsi="Times New Roman" w:cs="Times New Roman"/>
          <w:bCs/>
          <w:sz w:val="17"/>
          <w:szCs w:val="17"/>
          <w:lang w:val="en-IN"/>
        </w:rPr>
        <w:t xml:space="preserve"> trunk water potential detected changes after each irrigation, but their relationships with trunk shrinkage, canopy-to-air temperature difference and sap flow were only moderate, and suitable threshold values have yet to be established (Blanco &amp; </w:t>
      </w:r>
      <w:proofErr w:type="spellStart"/>
      <w:r w:rsidRPr="002F7029">
        <w:rPr>
          <w:rFonts w:ascii="Times New Roman" w:eastAsia="Times New Roman" w:hAnsi="Times New Roman" w:cs="Times New Roman"/>
          <w:bCs/>
          <w:sz w:val="17"/>
          <w:szCs w:val="17"/>
          <w:lang w:val="en-IN"/>
        </w:rPr>
        <w:t>Kalcsits</w:t>
      </w:r>
      <w:proofErr w:type="spellEnd"/>
      <w:r w:rsidRPr="002F7029">
        <w:rPr>
          <w:rFonts w:ascii="Times New Roman" w:eastAsia="Times New Roman" w:hAnsi="Times New Roman" w:cs="Times New Roman"/>
          <w:bCs/>
          <w:sz w:val="17"/>
          <w:szCs w:val="17"/>
          <w:lang w:val="en-IN"/>
        </w:rPr>
        <w:t>, 2024).</w:t>
      </w:r>
    </w:p>
    <w:p w14:paraId="6C75E6AD" w14:textId="77777777" w:rsidR="00903213" w:rsidRDefault="00903213" w:rsidP="00B821B1">
      <w:pPr>
        <w:spacing w:after="0" w:line="240" w:lineRule="auto"/>
        <w:contextualSpacing/>
        <w:jc w:val="both"/>
        <w:rPr>
          <w:rFonts w:ascii="Times New Roman" w:eastAsia="Times New Roman" w:hAnsi="Times New Roman" w:cs="Times New Roman"/>
          <w:bCs/>
          <w:sz w:val="17"/>
          <w:szCs w:val="17"/>
          <w:lang w:val="en-IN"/>
        </w:rPr>
        <w:sectPr w:rsidR="00903213" w:rsidSect="004F6249">
          <w:pgSz w:w="11909" w:h="16834" w:code="9"/>
          <w:pgMar w:top="1440" w:right="1440" w:bottom="1440" w:left="1440" w:header="720" w:footer="864" w:gutter="0"/>
          <w:cols w:space="720"/>
          <w:docGrid w:linePitch="360"/>
        </w:sectPr>
      </w:pPr>
    </w:p>
    <w:p w14:paraId="74C2039D" w14:textId="77777777" w:rsidR="00903213" w:rsidRPr="00903213" w:rsidRDefault="00903213" w:rsidP="00B821B1">
      <w:pPr>
        <w:spacing w:after="0" w:line="240" w:lineRule="auto"/>
        <w:contextualSpacing/>
        <w:jc w:val="center"/>
        <w:rPr>
          <w:rFonts w:ascii="Times New Roman" w:eastAsia="Times New Roman" w:hAnsi="Times New Roman" w:cs="Times New Roman"/>
          <w:b/>
          <w:bCs/>
          <w:sz w:val="17"/>
          <w:szCs w:val="17"/>
          <w:lang w:val="en-IN"/>
        </w:rPr>
      </w:pPr>
      <w:r w:rsidRPr="00903213">
        <w:rPr>
          <w:rFonts w:ascii="Times New Roman" w:eastAsia="Times New Roman" w:hAnsi="Times New Roman" w:cs="Times New Roman"/>
          <w:b/>
          <w:bCs/>
          <w:sz w:val="17"/>
          <w:szCs w:val="17"/>
          <w:lang w:val="en-IN"/>
        </w:rPr>
        <w:lastRenderedPageBreak/>
        <w:t>Table 6. Water-smart strategies for fruit production under climate change: mechanisms, evidence on yield and quality, and principal constraints</w:t>
      </w:r>
    </w:p>
    <w:p w14:paraId="521193AC" w14:textId="77777777" w:rsidR="00903213" w:rsidRPr="002F7029" w:rsidRDefault="00903213" w:rsidP="00B821B1">
      <w:pPr>
        <w:spacing w:after="0" w:line="240" w:lineRule="auto"/>
        <w:contextualSpacing/>
        <w:jc w:val="both"/>
        <w:rPr>
          <w:rFonts w:ascii="Times New Roman" w:eastAsia="Times New Roman" w:hAnsi="Times New Roman" w:cs="Times New Roman"/>
          <w:bCs/>
          <w:sz w:val="17"/>
          <w:szCs w:val="17"/>
          <w:lang w:val="en-IN"/>
        </w:rPr>
      </w:pPr>
    </w:p>
    <w:tbl>
      <w:tblPr>
        <w:tblStyle w:val="TableGrid"/>
        <w:tblW w:w="4910" w:type="pct"/>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871"/>
        <w:gridCol w:w="3060"/>
        <w:gridCol w:w="3330"/>
        <w:gridCol w:w="2520"/>
        <w:gridCol w:w="3134"/>
      </w:tblGrid>
      <w:tr w:rsidR="00903213" w:rsidRPr="002F7029" w14:paraId="182CBC3D" w14:textId="77777777" w:rsidTr="00903213">
        <w:trPr>
          <w:trHeight w:val="20"/>
          <w:jc w:val="center"/>
        </w:trPr>
        <w:tc>
          <w:tcPr>
            <w:tcW w:w="1871" w:type="dxa"/>
          </w:tcPr>
          <w:p w14:paraId="075B0E38"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Strategy</w:t>
            </w:r>
          </w:p>
        </w:tc>
        <w:tc>
          <w:tcPr>
            <w:tcW w:w="3060" w:type="dxa"/>
          </w:tcPr>
          <w:p w14:paraId="4B3D40ED"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Mechanism</w:t>
            </w:r>
          </w:p>
        </w:tc>
        <w:tc>
          <w:tcPr>
            <w:tcW w:w="3330" w:type="dxa"/>
          </w:tcPr>
          <w:p w14:paraId="07F0A1FD"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Evidence on yield, quality and water use</w:t>
            </w:r>
          </w:p>
        </w:tc>
        <w:tc>
          <w:tcPr>
            <w:tcW w:w="2520" w:type="dxa"/>
          </w:tcPr>
          <w:p w14:paraId="35830AE0"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Principal constraints</w:t>
            </w:r>
          </w:p>
        </w:tc>
        <w:tc>
          <w:tcPr>
            <w:tcW w:w="3134" w:type="dxa"/>
          </w:tcPr>
          <w:p w14:paraId="7F451467"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
                <w:bCs/>
                <w:sz w:val="17"/>
                <w:szCs w:val="17"/>
                <w:lang w:val="en-IN"/>
              </w:rPr>
              <w:t>Supporting references</w:t>
            </w:r>
          </w:p>
        </w:tc>
      </w:tr>
      <w:tr w:rsidR="00903213" w:rsidRPr="002F7029" w14:paraId="2922043E" w14:textId="77777777" w:rsidTr="00903213">
        <w:trPr>
          <w:trHeight w:val="20"/>
          <w:jc w:val="center"/>
        </w:trPr>
        <w:tc>
          <w:tcPr>
            <w:tcW w:w="1871" w:type="dxa"/>
          </w:tcPr>
          <w:p w14:paraId="073E3DB7"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Regulated deficit irrigation</w:t>
            </w:r>
          </w:p>
        </w:tc>
        <w:tc>
          <w:tcPr>
            <w:tcW w:w="3060" w:type="dxa"/>
          </w:tcPr>
          <w:p w14:paraId="79D248E1"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Water restriction during stress-tolerant phenological stages</w:t>
            </w:r>
          </w:p>
        </w:tc>
        <w:tc>
          <w:tcPr>
            <w:tcW w:w="3330" w:type="dxa"/>
          </w:tcPr>
          <w:p w14:paraId="1342D0CF"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Substantial water savings without yield loss in several species, including postharvest deficit in sweet cherry and moderate deficit in almond over six years</w:t>
            </w:r>
          </w:p>
        </w:tc>
        <w:tc>
          <w:tcPr>
            <w:tcW w:w="2520" w:type="dxa"/>
          </w:tcPr>
          <w:p w14:paraId="05514C6D"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Dependence on soil water storage and phenology; rarely tested during heatwaves</w:t>
            </w:r>
          </w:p>
        </w:tc>
        <w:tc>
          <w:tcPr>
            <w:tcW w:w="3134" w:type="dxa"/>
          </w:tcPr>
          <w:p w14:paraId="1AEDA00E"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Blanco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(2019); Chalmers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(1981); Chai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(2016); Fereres &amp; Soriano (2007); Moldero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 xml:space="preserve">(2021); Ruiz-Sánchez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(2010)</w:t>
            </w:r>
          </w:p>
        </w:tc>
      </w:tr>
      <w:tr w:rsidR="00903213" w:rsidRPr="002F7029" w14:paraId="54C832FC" w14:textId="77777777" w:rsidTr="00903213">
        <w:trPr>
          <w:trHeight w:val="20"/>
          <w:jc w:val="center"/>
        </w:trPr>
        <w:tc>
          <w:tcPr>
            <w:tcW w:w="1871" w:type="dxa"/>
          </w:tcPr>
          <w:p w14:paraId="1909791F"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Sustained deficit irrigation</w:t>
            </w:r>
          </w:p>
        </w:tc>
        <w:tc>
          <w:tcPr>
            <w:tcW w:w="3060" w:type="dxa"/>
          </w:tcPr>
          <w:p w14:paraId="1B784F63"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Uniform reduction relative to crop evapotranspiration</w:t>
            </w:r>
          </w:p>
        </w:tc>
        <w:tc>
          <w:tcPr>
            <w:tcW w:w="3330" w:type="dxa"/>
          </w:tcPr>
          <w:p w14:paraId="718A5A7C"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Moderate reductions tolerated; severe reductions reduce fruit size</w:t>
            </w:r>
          </w:p>
        </w:tc>
        <w:tc>
          <w:tcPr>
            <w:tcW w:w="2520" w:type="dxa"/>
          </w:tcPr>
          <w:p w14:paraId="63BE38DC"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Smaller fruit; cultivar and climate dependence</w:t>
            </w:r>
          </w:p>
        </w:tc>
        <w:tc>
          <w:tcPr>
            <w:tcW w:w="3134" w:type="dxa"/>
          </w:tcPr>
          <w:p w14:paraId="13984CD5"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Blanco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(2019); El Jaouhari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 xml:space="preserve">(2018); López-López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(2018)</w:t>
            </w:r>
          </w:p>
        </w:tc>
      </w:tr>
      <w:tr w:rsidR="00903213" w:rsidRPr="002F7029" w14:paraId="3F76E76B" w14:textId="77777777" w:rsidTr="00903213">
        <w:trPr>
          <w:trHeight w:val="20"/>
          <w:jc w:val="center"/>
        </w:trPr>
        <w:tc>
          <w:tcPr>
            <w:tcW w:w="1871" w:type="dxa"/>
          </w:tcPr>
          <w:p w14:paraId="1F58E2D0"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Partial root-zone drying</w:t>
            </w:r>
          </w:p>
        </w:tc>
        <w:tc>
          <w:tcPr>
            <w:tcW w:w="3060" w:type="dxa"/>
          </w:tcPr>
          <w:p w14:paraId="3002034E"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Root-sourced signals reduce stomatal opening and vigour</w:t>
            </w:r>
          </w:p>
        </w:tc>
        <w:tc>
          <w:tcPr>
            <w:tcW w:w="3330" w:type="dxa"/>
          </w:tcPr>
          <w:p w14:paraId="58459496"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Water savings with maintained yield and some quality gains in grapevine</w:t>
            </w:r>
          </w:p>
        </w:tc>
        <w:tc>
          <w:tcPr>
            <w:tcW w:w="2520" w:type="dxa"/>
          </w:tcPr>
          <w:p w14:paraId="006222C0"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Advantage over conventional deficit irrigation at equal volume not established for fruit trees</w:t>
            </w:r>
          </w:p>
        </w:tc>
        <w:tc>
          <w:tcPr>
            <w:tcW w:w="3134" w:type="dxa"/>
          </w:tcPr>
          <w:p w14:paraId="4FDBD493"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Chaves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(2007); Kang &amp; Zhang (2004); dos Santos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 xml:space="preserve">(2003); Stoll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(2000)</w:t>
            </w:r>
          </w:p>
        </w:tc>
      </w:tr>
      <w:tr w:rsidR="00903213" w:rsidRPr="002F7029" w14:paraId="37F3BDD1" w14:textId="77777777" w:rsidTr="00903213">
        <w:trPr>
          <w:trHeight w:val="20"/>
          <w:jc w:val="center"/>
        </w:trPr>
        <w:tc>
          <w:tcPr>
            <w:tcW w:w="1871" w:type="dxa"/>
          </w:tcPr>
          <w:p w14:paraId="4F98B7D5"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Plant-based scheduling</w:t>
            </w:r>
          </w:p>
        </w:tc>
        <w:tc>
          <w:tcPr>
            <w:tcW w:w="3060" w:type="dxa"/>
          </w:tcPr>
          <w:p w14:paraId="30D1368E"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 xml:space="preserve">Direct indicators of tree water status (stem water potential, trunk shrinkage, sap flow, </w:t>
            </w:r>
            <w:proofErr w:type="spellStart"/>
            <w:r w:rsidRPr="002F7029">
              <w:rPr>
                <w:rFonts w:ascii="Times New Roman" w:eastAsia="Times New Roman" w:hAnsi="Times New Roman"/>
                <w:bCs/>
                <w:sz w:val="17"/>
                <w:szCs w:val="17"/>
                <w:lang w:val="en-IN"/>
              </w:rPr>
              <w:t>microtensiometers</w:t>
            </w:r>
            <w:proofErr w:type="spellEnd"/>
            <w:r w:rsidRPr="002F7029">
              <w:rPr>
                <w:rFonts w:ascii="Times New Roman" w:eastAsia="Times New Roman" w:hAnsi="Times New Roman"/>
                <w:bCs/>
                <w:sz w:val="17"/>
                <w:szCs w:val="17"/>
                <w:lang w:val="en-IN"/>
              </w:rPr>
              <w:t>)</w:t>
            </w:r>
          </w:p>
        </w:tc>
        <w:tc>
          <w:tcPr>
            <w:tcW w:w="3330" w:type="dxa"/>
          </w:tcPr>
          <w:p w14:paraId="6526A6B2"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Sensitive detection of water stress; reference relationships available for some crops</w:t>
            </w:r>
          </w:p>
        </w:tc>
        <w:tc>
          <w:tcPr>
            <w:tcW w:w="2520" w:type="dxa"/>
          </w:tcPr>
          <w:p w14:paraId="16D5F4F3"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Sensor maintenance; tree-to-tree variability; site-specific thresholds; uncertain profitability</w:t>
            </w:r>
          </w:p>
        </w:tc>
        <w:tc>
          <w:tcPr>
            <w:tcW w:w="3134" w:type="dxa"/>
          </w:tcPr>
          <w:p w14:paraId="2922D28A"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Blanco &amp; Kalcsits (2024); Conejero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(2007); De Swaef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 xml:space="preserve">(2009); Egea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(2017); J. E. Fernández (2014); Lakso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(2022); McCutchan &amp; </w:t>
            </w:r>
            <w:proofErr w:type="spellStart"/>
            <w:r w:rsidRPr="002F7029">
              <w:rPr>
                <w:rFonts w:ascii="Times New Roman" w:eastAsia="Times New Roman" w:hAnsi="Times New Roman"/>
                <w:bCs/>
                <w:sz w:val="17"/>
                <w:szCs w:val="17"/>
                <w:lang w:val="en-IN"/>
              </w:rPr>
              <w:t>Shackel</w:t>
            </w:r>
            <w:proofErr w:type="spellEnd"/>
            <w:r w:rsidRPr="002F7029">
              <w:rPr>
                <w:rFonts w:ascii="Times New Roman" w:eastAsia="Times New Roman" w:hAnsi="Times New Roman"/>
                <w:bCs/>
                <w:sz w:val="17"/>
                <w:szCs w:val="17"/>
                <w:lang w:val="en-IN"/>
              </w:rPr>
              <w:t xml:space="preserve"> (1992)</w:t>
            </w:r>
          </w:p>
        </w:tc>
      </w:tr>
      <w:tr w:rsidR="00903213" w:rsidRPr="002F7029" w14:paraId="591259E7" w14:textId="77777777" w:rsidTr="00903213">
        <w:trPr>
          <w:trHeight w:val="20"/>
          <w:jc w:val="center"/>
        </w:trPr>
        <w:tc>
          <w:tcPr>
            <w:tcW w:w="1871" w:type="dxa"/>
          </w:tcPr>
          <w:p w14:paraId="1CC5D1EC"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Remote and proximal sensing</w:t>
            </w:r>
          </w:p>
        </w:tc>
        <w:tc>
          <w:tcPr>
            <w:tcW w:w="3060" w:type="dxa"/>
          </w:tcPr>
          <w:p w14:paraId="6C12F9C9"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Thermal and spectral mapping of canopy water status</w:t>
            </w:r>
          </w:p>
        </w:tc>
        <w:tc>
          <w:tcPr>
            <w:tcW w:w="3330" w:type="dxa"/>
          </w:tcPr>
          <w:p w14:paraId="2F0596EC"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Detection of within-orchard heterogeneity for precision irrigation</w:t>
            </w:r>
          </w:p>
        </w:tc>
        <w:tc>
          <w:tcPr>
            <w:tcW w:w="2520" w:type="dxa"/>
          </w:tcPr>
          <w:p w14:paraId="047B9BCD"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Lower precision than point sensors; calibration requirements</w:t>
            </w:r>
          </w:p>
        </w:tc>
        <w:tc>
          <w:tcPr>
            <w:tcW w:w="3134" w:type="dxa"/>
          </w:tcPr>
          <w:p w14:paraId="1514C691"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Carella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(2024); Gonzalez-Dugo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(2013)</w:t>
            </w:r>
          </w:p>
        </w:tc>
      </w:tr>
      <w:tr w:rsidR="00903213" w:rsidRPr="002F7029" w14:paraId="2DDF0734" w14:textId="77777777" w:rsidTr="00903213">
        <w:trPr>
          <w:trHeight w:val="20"/>
          <w:jc w:val="center"/>
        </w:trPr>
        <w:tc>
          <w:tcPr>
            <w:tcW w:w="1871" w:type="dxa"/>
          </w:tcPr>
          <w:p w14:paraId="300FD9B9"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Reclaimed and desalinated water</w:t>
            </w:r>
          </w:p>
        </w:tc>
        <w:tc>
          <w:tcPr>
            <w:tcW w:w="3060" w:type="dxa"/>
          </w:tcPr>
          <w:p w14:paraId="6B2049C6"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Substitution of fresh water by marginal sources</w:t>
            </w:r>
          </w:p>
        </w:tc>
        <w:tc>
          <w:tcPr>
            <w:tcW w:w="3330" w:type="dxa"/>
          </w:tcPr>
          <w:p w14:paraId="50BB1A47"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Production maintained or increased in long-term olive trial; rootstock-dependent responses in citrus and avocado</w:t>
            </w:r>
          </w:p>
        </w:tc>
        <w:tc>
          <w:tcPr>
            <w:tcW w:w="2520" w:type="dxa"/>
          </w:tcPr>
          <w:p w14:paraId="34EBFE9E"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 xml:space="preserve">Soil </w:t>
            </w:r>
            <w:proofErr w:type="spellStart"/>
            <w:r w:rsidRPr="002F7029">
              <w:rPr>
                <w:rFonts w:ascii="Times New Roman" w:eastAsia="Times New Roman" w:hAnsi="Times New Roman"/>
                <w:bCs/>
                <w:sz w:val="17"/>
                <w:szCs w:val="17"/>
                <w:lang w:val="en-IN"/>
              </w:rPr>
              <w:t>sodification</w:t>
            </w:r>
            <w:proofErr w:type="spellEnd"/>
            <w:r w:rsidRPr="002F7029">
              <w:rPr>
                <w:rFonts w:ascii="Times New Roman" w:eastAsia="Times New Roman" w:hAnsi="Times New Roman"/>
                <w:bCs/>
                <w:sz w:val="17"/>
                <w:szCs w:val="17"/>
                <w:lang w:val="en-IN"/>
              </w:rPr>
              <w:t>; chloride and boron toxicity; dependence on leaching rainfall</w:t>
            </w:r>
          </w:p>
        </w:tc>
        <w:tc>
          <w:tcPr>
            <w:tcW w:w="3134" w:type="dxa"/>
          </w:tcPr>
          <w:p w14:paraId="5C93D1A8"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Acosta-Rangel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(2019); Erel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(2019); Navarro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(2022); Nicolás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(2016)</w:t>
            </w:r>
          </w:p>
        </w:tc>
      </w:tr>
      <w:tr w:rsidR="00903213" w:rsidRPr="002F7029" w14:paraId="3E82B0E0" w14:textId="77777777" w:rsidTr="00903213">
        <w:trPr>
          <w:trHeight w:val="20"/>
          <w:jc w:val="center"/>
        </w:trPr>
        <w:tc>
          <w:tcPr>
            <w:tcW w:w="1871" w:type="dxa"/>
          </w:tcPr>
          <w:p w14:paraId="60242251"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Mulching and ground covers</w:t>
            </w:r>
          </w:p>
        </w:tc>
        <w:tc>
          <w:tcPr>
            <w:tcW w:w="3060" w:type="dxa"/>
          </w:tcPr>
          <w:p w14:paraId="654561C1"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Reduced soil evaporation and runoff</w:t>
            </w:r>
          </w:p>
        </w:tc>
        <w:tc>
          <w:tcPr>
            <w:tcW w:w="3330" w:type="dxa"/>
          </w:tcPr>
          <w:p w14:paraId="31C40B45"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Increased yield and water-use efficiency with mulches in semi-arid apple; reduced erosion with cover crops</w:t>
            </w:r>
          </w:p>
        </w:tc>
        <w:tc>
          <w:tcPr>
            <w:tcW w:w="2520" w:type="dxa"/>
          </w:tcPr>
          <w:p w14:paraId="48F12DF5"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Water competition from living covers; yield penalties in dry seasons</w:t>
            </w:r>
          </w:p>
        </w:tc>
        <w:tc>
          <w:tcPr>
            <w:tcW w:w="3134" w:type="dxa"/>
          </w:tcPr>
          <w:p w14:paraId="677CEC50"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Liao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(2021); Novara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 xml:space="preserve">(2021); Tu </w:t>
            </w:r>
            <w:r w:rsidRPr="002F7029">
              <w:rPr>
                <w:rFonts w:ascii="Times New Roman" w:eastAsia="Times New Roman" w:hAnsi="Times New Roman"/>
                <w:bCs/>
                <w:i/>
                <w:iCs/>
                <w:sz w:val="17"/>
                <w:szCs w:val="17"/>
                <w:lang w:val="en-IN"/>
              </w:rPr>
              <w:t>et al.</w:t>
            </w:r>
            <w:r w:rsidRPr="002F7029">
              <w:rPr>
                <w:rFonts w:ascii="Times New Roman" w:eastAsia="Times New Roman" w:hAnsi="Times New Roman"/>
                <w:bCs/>
                <w:sz w:val="17"/>
                <w:szCs w:val="17"/>
                <w:lang w:val="en-IN"/>
              </w:rPr>
              <w:t xml:space="preserve"> (2021)</w:t>
            </w:r>
          </w:p>
        </w:tc>
      </w:tr>
      <w:tr w:rsidR="00903213" w:rsidRPr="002F7029" w14:paraId="145E4E97" w14:textId="77777777" w:rsidTr="00903213">
        <w:trPr>
          <w:trHeight w:val="20"/>
          <w:jc w:val="center"/>
        </w:trPr>
        <w:tc>
          <w:tcPr>
            <w:tcW w:w="1871" w:type="dxa"/>
          </w:tcPr>
          <w:p w14:paraId="36C845DC"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Supplementary irrigation as regional adaptation</w:t>
            </w:r>
          </w:p>
        </w:tc>
        <w:tc>
          <w:tcPr>
            <w:tcW w:w="3060" w:type="dxa"/>
          </w:tcPr>
          <w:p w14:paraId="3C2CE383"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Compensation for declining rainfall and rising evaporative demand</w:t>
            </w:r>
          </w:p>
        </w:tc>
        <w:tc>
          <w:tcPr>
            <w:tcW w:w="3330" w:type="dxa"/>
          </w:tcPr>
          <w:p w14:paraId="2120E338"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Modelled recovery of projected olive yield declines</w:t>
            </w:r>
          </w:p>
        </w:tc>
        <w:tc>
          <w:tcPr>
            <w:tcW w:w="2520" w:type="dxa"/>
          </w:tcPr>
          <w:p w14:paraId="05B9B1E4"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en-IN"/>
              </w:rPr>
              <w:t>Water requirement may exceed available resources</w:t>
            </w:r>
          </w:p>
        </w:tc>
        <w:tc>
          <w:tcPr>
            <w:tcW w:w="3134" w:type="dxa"/>
          </w:tcPr>
          <w:p w14:paraId="3FEA2370" w14:textId="77777777" w:rsidR="00903213" w:rsidRPr="002F7029" w:rsidRDefault="00903213" w:rsidP="00B821B1">
            <w:pPr>
              <w:contextualSpacing/>
              <w:rPr>
                <w:rFonts w:ascii="Times New Roman" w:eastAsia="Times New Roman" w:hAnsi="Times New Roman"/>
                <w:bCs/>
                <w:sz w:val="17"/>
                <w:szCs w:val="17"/>
                <w:lang w:val="en-IN"/>
              </w:rPr>
            </w:pPr>
            <w:r w:rsidRPr="002F7029">
              <w:rPr>
                <w:rFonts w:ascii="Times New Roman" w:eastAsia="Times New Roman" w:hAnsi="Times New Roman"/>
                <w:bCs/>
                <w:sz w:val="17"/>
                <w:szCs w:val="17"/>
                <w:lang w:val="nl-BE"/>
              </w:rPr>
              <w:t xml:space="preserve">Fraga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(2020); Steduto </w:t>
            </w:r>
            <w:r w:rsidRPr="002F7029">
              <w:rPr>
                <w:rFonts w:ascii="Times New Roman" w:eastAsia="Times New Roman" w:hAnsi="Times New Roman"/>
                <w:bCs/>
                <w:i/>
                <w:iCs/>
                <w:sz w:val="17"/>
                <w:szCs w:val="17"/>
                <w:lang w:val="nl-BE"/>
              </w:rPr>
              <w:t>et al.</w:t>
            </w:r>
            <w:r w:rsidRPr="002F7029">
              <w:rPr>
                <w:rFonts w:ascii="Times New Roman" w:eastAsia="Times New Roman" w:hAnsi="Times New Roman"/>
                <w:bCs/>
                <w:sz w:val="17"/>
                <w:szCs w:val="17"/>
                <w:lang w:val="nl-BE"/>
              </w:rPr>
              <w:t xml:space="preserve"> </w:t>
            </w:r>
            <w:r w:rsidRPr="002F7029">
              <w:rPr>
                <w:rFonts w:ascii="Times New Roman" w:eastAsia="Times New Roman" w:hAnsi="Times New Roman"/>
                <w:bCs/>
                <w:sz w:val="17"/>
                <w:szCs w:val="17"/>
                <w:lang w:val="en-IN"/>
              </w:rPr>
              <w:t>(2012)</w:t>
            </w:r>
          </w:p>
        </w:tc>
      </w:tr>
    </w:tbl>
    <w:p w14:paraId="00F9B49A" w14:textId="76A52D44" w:rsidR="00903213" w:rsidRPr="00903213" w:rsidRDefault="00903213" w:rsidP="00B821B1">
      <w:pPr>
        <w:spacing w:after="0" w:line="240" w:lineRule="auto"/>
        <w:contextualSpacing/>
        <w:jc w:val="center"/>
        <w:rPr>
          <w:rFonts w:ascii="Times New Roman" w:eastAsia="Times New Roman" w:hAnsi="Times New Roman" w:cs="Times New Roman"/>
          <w:bCs/>
          <w:i/>
          <w:iCs/>
          <w:sz w:val="16"/>
          <w:szCs w:val="16"/>
          <w:lang w:val="en-IN"/>
        </w:rPr>
      </w:pPr>
      <w:r w:rsidRPr="00903213">
        <w:rPr>
          <w:rFonts w:ascii="Times New Roman" w:eastAsia="Times New Roman" w:hAnsi="Times New Roman" w:cs="Times New Roman"/>
          <w:bCs/>
          <w:i/>
          <w:iCs/>
          <w:sz w:val="16"/>
          <w:szCs w:val="16"/>
          <w:lang w:val="en-IN"/>
        </w:rPr>
        <w:t>Note. Evidence categories reflect the appraisal rubric described in Section 2.3. Reported water savings and yield effects are specific to the cited studies and are not transferable without local calibration</w:t>
      </w:r>
    </w:p>
    <w:p w14:paraId="77AF69AB"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021F69AC" w14:textId="77777777" w:rsidR="00903213" w:rsidRDefault="00903213" w:rsidP="00B821B1">
      <w:pPr>
        <w:spacing w:after="0" w:line="240" w:lineRule="auto"/>
        <w:contextualSpacing/>
        <w:jc w:val="both"/>
        <w:rPr>
          <w:rFonts w:ascii="Times New Roman" w:eastAsia="Times New Roman" w:hAnsi="Times New Roman" w:cs="Times New Roman"/>
          <w:bCs/>
          <w:sz w:val="17"/>
          <w:szCs w:val="17"/>
          <w:lang w:val="en-IN"/>
        </w:rPr>
        <w:sectPr w:rsidR="00903213" w:rsidSect="00903213">
          <w:pgSz w:w="16834" w:h="11909" w:orient="landscape" w:code="9"/>
          <w:pgMar w:top="1440" w:right="1440" w:bottom="1440" w:left="1440" w:header="720" w:footer="864" w:gutter="0"/>
          <w:cols w:space="720"/>
          <w:docGrid w:linePitch="360"/>
        </w:sectPr>
      </w:pPr>
    </w:p>
    <w:p w14:paraId="5ED2A49A"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lastRenderedPageBreak/>
        <w:t xml:space="preserve">Remote sensing addresses the spatial limitation of point sensors. High-resolution thermal imagery from an unmanned aerial vehicle captured heterogeneity in water status within a commercial orchard of five fruit tree species, a prerequisite for precision irrigation (Gonzalez-Dugo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2013). Proximal sensors are more precise for individual trees but limited in spatial coverage, whereas drone and satellite imagery cover large areas with lower precision, so integration of the two has been proposed (Carella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2024). The economic case for sensor-based scheduling is not yet conclusive. In a super-high-density olive orchard, an RDI strategy supplying 45% of crop water needs was profitable whether scheduled by leaf turgor sensors or by the crop coefficient approach, and the sensor-based schedule showed higher, but not significantly different, financial indicators (Egea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2017). Monitoring tools thus appear more valuable as safeguards against excessive stress in variable seasons than as a guaranteed source of extra profit.</w:t>
      </w:r>
    </w:p>
    <w:p w14:paraId="19668AB7"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52017F89"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7.4 Marginal Water Sources</w:t>
      </w:r>
    </w:p>
    <w:p w14:paraId="5C3A426E" w14:textId="77777777" w:rsidR="001C1531" w:rsidRPr="002F7029" w:rsidRDefault="001C1531" w:rsidP="00B821B1">
      <w:pPr>
        <w:spacing w:after="0" w:line="240" w:lineRule="auto"/>
        <w:contextualSpacing/>
        <w:jc w:val="both"/>
        <w:rPr>
          <w:rFonts w:ascii="Times New Roman" w:eastAsia="Times New Roman" w:hAnsi="Times New Roman" w:cs="Times New Roman"/>
          <w:b/>
          <w:bCs/>
          <w:i/>
          <w:iCs/>
          <w:sz w:val="17"/>
          <w:szCs w:val="17"/>
          <w:lang w:val="en-IN"/>
        </w:rPr>
      </w:pPr>
    </w:p>
    <w:p w14:paraId="1E869193"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As freshwater becomes scarcer, reclaimed wastewater and desalinated seawater are increasingly used for fruit production. In an eight-year olive experiment, reclaimed wastewater supplied substantial nitrogen, phosphorus and potassium and increased fruit yield relative to fresh water, and although soil salinity rose each autumn, leaf sodium and chloride did not increase, which the authors attributed to sufficient seasonal leaching by rainfall. The sodium adsorption ratio of the soil solution, however, increased steadily and exchangeable sodium reached nearly twice that of the freshwater treatment (Erel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2019). Clementine mandarin irrigated with saline reclaimed water of about 3.5 </w:t>
      </w:r>
      <w:proofErr w:type="spellStart"/>
      <w:r w:rsidRPr="002F7029">
        <w:rPr>
          <w:rFonts w:ascii="Times New Roman" w:eastAsia="Times New Roman" w:hAnsi="Times New Roman" w:cs="Times New Roman"/>
          <w:bCs/>
          <w:sz w:val="17"/>
          <w:szCs w:val="17"/>
          <w:lang w:val="en-IN"/>
        </w:rPr>
        <w:t>dS</w:t>
      </w:r>
      <w:proofErr w:type="spellEnd"/>
      <w:r w:rsidRPr="002F7029">
        <w:rPr>
          <w:rFonts w:ascii="Times New Roman" w:eastAsia="Times New Roman" w:hAnsi="Times New Roman" w:cs="Times New Roman"/>
          <w:bCs/>
          <w:sz w:val="17"/>
          <w:szCs w:val="17"/>
          <w:lang w:val="en-IN"/>
        </w:rPr>
        <w:t xml:space="preserve"> m⁻¹ has been evaluated over six consecutive seasons to characterise its long-term physiological and agronomic responses (Nicolás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2016). The rootstock-specific responses of avocado and lemon to saline and desalinated water described in Section 5.3 (Acosta-Rangel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2019; Navarro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2022) show that the safety of marginal water depends on the combination of scion, rootstock, soil and climate. The evidence indicates that marginal water can sustain production in the medium term where leaching is adequate, but the progressive </w:t>
      </w:r>
      <w:proofErr w:type="spellStart"/>
      <w:r w:rsidRPr="002F7029">
        <w:rPr>
          <w:rFonts w:ascii="Times New Roman" w:eastAsia="Times New Roman" w:hAnsi="Times New Roman" w:cs="Times New Roman"/>
          <w:bCs/>
          <w:sz w:val="17"/>
          <w:szCs w:val="17"/>
          <w:lang w:val="en-IN"/>
        </w:rPr>
        <w:t>sodification</w:t>
      </w:r>
      <w:proofErr w:type="spellEnd"/>
      <w:r w:rsidRPr="002F7029">
        <w:rPr>
          <w:rFonts w:ascii="Times New Roman" w:eastAsia="Times New Roman" w:hAnsi="Times New Roman" w:cs="Times New Roman"/>
          <w:bCs/>
          <w:sz w:val="17"/>
          <w:szCs w:val="17"/>
          <w:lang w:val="en-IN"/>
        </w:rPr>
        <w:t xml:space="preserve"> of soils implies that its long-term sustainability under declining rainfall is not assured.</w:t>
      </w:r>
    </w:p>
    <w:p w14:paraId="7416FA67"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p>
    <w:p w14:paraId="2B8B6FF9"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7.5 Soil-Water Conservation and Integrated Water Management</w:t>
      </w:r>
    </w:p>
    <w:p w14:paraId="32F26CF2" w14:textId="77777777" w:rsidR="001C1531" w:rsidRPr="002F7029" w:rsidRDefault="001C1531" w:rsidP="00B821B1">
      <w:pPr>
        <w:spacing w:after="0" w:line="240" w:lineRule="auto"/>
        <w:contextualSpacing/>
        <w:jc w:val="both"/>
        <w:rPr>
          <w:rFonts w:ascii="Times New Roman" w:eastAsia="Times New Roman" w:hAnsi="Times New Roman" w:cs="Times New Roman"/>
          <w:b/>
          <w:bCs/>
          <w:i/>
          <w:iCs/>
          <w:sz w:val="17"/>
          <w:szCs w:val="17"/>
          <w:lang w:val="en-IN"/>
        </w:rPr>
      </w:pPr>
    </w:p>
    <w:p w14:paraId="1F536672"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Practices that reduce soil evaporation complement deficit irrigation. In a semi-arid apple orchard, horticultural fabric and straw mulches increased infiltration, reduced soil evaporation and increased apple yield and irrigation water-use efficiency in three consecutive years (Liao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2021). Cover crops in vineyards and olive groves reduce runoff and can improve water-use efficiency by restraining excessive vigour on fertile soils, but they compete with trees for water, particularly in spring, and require careful management in dry, low-vigour systems (Novara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2021). A fifteen-year study in a hilly citrus orchard in southern China showed that living grass mulch reduced runoff and erosion but lowered soil water content in the dry season and reduced average fruit yield by about 32% under strip mulching and 42% under full mulching (Tu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2021). In Japan, combining drip fertigation with plastic sheet mulching has been used to manage tree moisture actively and raise the sugar content of satsuma mandarin fruit (Shimazaki &amp; </w:t>
      </w:r>
      <w:proofErr w:type="spellStart"/>
      <w:r w:rsidRPr="002F7029">
        <w:rPr>
          <w:rFonts w:ascii="Times New Roman" w:eastAsia="Times New Roman" w:hAnsi="Times New Roman" w:cs="Times New Roman"/>
          <w:bCs/>
          <w:sz w:val="17"/>
          <w:szCs w:val="17"/>
          <w:lang w:val="en-IN"/>
        </w:rPr>
        <w:t>Nesumi</w:t>
      </w:r>
      <w:proofErr w:type="spellEnd"/>
      <w:r w:rsidRPr="002F7029">
        <w:rPr>
          <w:rFonts w:ascii="Times New Roman" w:eastAsia="Times New Roman" w:hAnsi="Times New Roman" w:cs="Times New Roman"/>
          <w:bCs/>
          <w:sz w:val="17"/>
          <w:szCs w:val="17"/>
          <w:lang w:val="en-IN"/>
        </w:rPr>
        <w:t xml:space="preserve">, 2016), illustrating that controlled water deficit can also be a quality tool. At a regional scale, crop modelling for olive orchards in Alentejo indicated that irrigation could offset projected yield declines of 15–20%, but the water required corresponded to 0.6–1 times, and in one model chain up to twice, the projected decrease in precipitation, so the adaptation itself may be constrained by water scarcity (Fraga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2020). Guidelines on the yield response of fruit trees and vines to water deficits are available to support such planning (</w:t>
      </w:r>
      <w:proofErr w:type="spellStart"/>
      <w:r w:rsidRPr="002F7029">
        <w:rPr>
          <w:rFonts w:ascii="Times New Roman" w:eastAsia="Times New Roman" w:hAnsi="Times New Roman" w:cs="Times New Roman"/>
          <w:bCs/>
          <w:sz w:val="17"/>
          <w:szCs w:val="17"/>
          <w:lang w:val="en-IN"/>
        </w:rPr>
        <w:t>Steduto</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2012).</w:t>
      </w:r>
    </w:p>
    <w:p w14:paraId="2FEB3A41" w14:textId="77777777" w:rsidR="001C1531" w:rsidRPr="00B821B1" w:rsidRDefault="001C1531" w:rsidP="00B821B1">
      <w:pPr>
        <w:spacing w:after="0" w:line="240" w:lineRule="auto"/>
        <w:contextualSpacing/>
        <w:jc w:val="both"/>
        <w:rPr>
          <w:rFonts w:ascii="Times New Roman" w:eastAsia="Times New Roman" w:hAnsi="Times New Roman" w:cs="Times New Roman"/>
          <w:bCs/>
          <w:sz w:val="20"/>
          <w:szCs w:val="20"/>
          <w:lang w:val="en-IN"/>
        </w:rPr>
      </w:pPr>
    </w:p>
    <w:p w14:paraId="5D8DE5B9"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water-smart strategies reviewed here are compared in Table 6. The table shows that RDI during stress-tolerant stages is the best-supported strategy, that sensor-based scheduling is technically mature but economically unproven, and that marginal water and ground-cover management involve trade-offs that emerge only over several seasons.</w:t>
      </w:r>
    </w:p>
    <w:p w14:paraId="7BDE2EEE" w14:textId="6E26AC13" w:rsidR="001C1531" w:rsidRPr="00B821B1" w:rsidRDefault="001C1531" w:rsidP="00B821B1">
      <w:pPr>
        <w:spacing w:after="0" w:line="240" w:lineRule="auto"/>
        <w:contextualSpacing/>
        <w:jc w:val="both"/>
        <w:rPr>
          <w:rFonts w:ascii="Times New Roman" w:eastAsia="Times New Roman" w:hAnsi="Times New Roman" w:cs="Times New Roman"/>
          <w:bCs/>
          <w:sz w:val="20"/>
          <w:szCs w:val="20"/>
          <w:lang w:val="en-IN"/>
        </w:rPr>
      </w:pPr>
    </w:p>
    <w:p w14:paraId="146A803E" w14:textId="77777777" w:rsidR="001C1531" w:rsidRPr="002F7029" w:rsidRDefault="001C1531" w:rsidP="00B821B1">
      <w:pPr>
        <w:pStyle w:val="Heading3"/>
        <w:keepNext w:val="0"/>
        <w:keepLines w:val="0"/>
        <w:rPr>
          <w:rFonts w:eastAsia="Times New Roman"/>
          <w:lang w:val="en-IN"/>
        </w:rPr>
      </w:pPr>
      <w:r w:rsidRPr="002F7029">
        <w:rPr>
          <w:rFonts w:eastAsia="Times New Roman"/>
          <w:lang w:val="en-IN"/>
        </w:rPr>
        <w:t>8. Integrating the Levers: Interactions, Trade-Offs and Maladaptation Risk</w:t>
      </w:r>
    </w:p>
    <w:p w14:paraId="18716175" w14:textId="77777777" w:rsidR="001C1531" w:rsidRPr="00B821B1" w:rsidRDefault="001C1531" w:rsidP="00B821B1">
      <w:pPr>
        <w:spacing w:after="0" w:line="240" w:lineRule="auto"/>
        <w:contextualSpacing/>
        <w:jc w:val="both"/>
        <w:rPr>
          <w:rFonts w:ascii="Times New Roman" w:eastAsia="Times New Roman" w:hAnsi="Times New Roman" w:cs="Times New Roman"/>
          <w:b/>
          <w:bCs/>
          <w:sz w:val="20"/>
          <w:szCs w:val="20"/>
          <w:lang w:val="en-IN"/>
        </w:rPr>
      </w:pPr>
    </w:p>
    <w:p w14:paraId="54C69633"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preceding sections show that each lever addresses more than one hazard and that each can create new exposures. This section draws these findings together to identify interactions that are supported by evidence, interactions that remain hypothetical and the conditions under which combined adaptation may become maladaptive.</w:t>
      </w:r>
    </w:p>
    <w:p w14:paraId="3FDC57B2" w14:textId="77777777" w:rsidR="001C1531" w:rsidRPr="00B821B1" w:rsidRDefault="001C1531" w:rsidP="00B821B1">
      <w:pPr>
        <w:spacing w:after="0" w:line="240" w:lineRule="auto"/>
        <w:contextualSpacing/>
        <w:jc w:val="both"/>
        <w:rPr>
          <w:rFonts w:ascii="Times New Roman" w:eastAsia="Times New Roman" w:hAnsi="Times New Roman" w:cs="Times New Roman"/>
          <w:bCs/>
          <w:sz w:val="20"/>
          <w:szCs w:val="20"/>
          <w:lang w:val="en-IN"/>
        </w:rPr>
      </w:pPr>
    </w:p>
    <w:p w14:paraId="617D0DE6"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8.1 Documented and Plausible Interactions Among Levers</w:t>
      </w:r>
    </w:p>
    <w:p w14:paraId="1A4A1CCB" w14:textId="77777777" w:rsidR="001C1531" w:rsidRPr="00B821B1" w:rsidRDefault="001C1531" w:rsidP="00B821B1">
      <w:pPr>
        <w:spacing w:after="0" w:line="240" w:lineRule="auto"/>
        <w:contextualSpacing/>
        <w:jc w:val="both"/>
        <w:rPr>
          <w:rFonts w:ascii="Times New Roman" w:eastAsia="Times New Roman" w:hAnsi="Times New Roman" w:cs="Times New Roman"/>
          <w:b/>
          <w:bCs/>
          <w:i/>
          <w:iCs/>
          <w:sz w:val="20"/>
          <w:szCs w:val="20"/>
          <w:lang w:val="en-IN"/>
        </w:rPr>
      </w:pPr>
    </w:p>
    <w:p w14:paraId="158B1590"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clearest documented interaction links rootstocks with canopy management. Size-controlling rootstocks made high-density planar canopies possible (Anthony &amp; Minas, 2021), and these canopies expose more fruit to direct radiation, which in hot regions increases sunburn and the reliance on netting or evaporative cooling (</w:t>
      </w:r>
      <w:proofErr w:type="spellStart"/>
      <w:r w:rsidRPr="002F7029">
        <w:rPr>
          <w:rFonts w:ascii="Times New Roman" w:eastAsia="Times New Roman" w:hAnsi="Times New Roman" w:cs="Times New Roman"/>
          <w:bCs/>
          <w:sz w:val="17"/>
          <w:szCs w:val="17"/>
          <w:lang w:val="en-IN"/>
        </w:rPr>
        <w:t>Willsea</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2023). Rootstocks also interact with water management. Rankings of </w:t>
      </w:r>
      <w:r w:rsidRPr="002F7029">
        <w:rPr>
          <w:rFonts w:ascii="Times New Roman" w:eastAsia="Times New Roman" w:hAnsi="Times New Roman" w:cs="Times New Roman"/>
          <w:bCs/>
          <w:i/>
          <w:iCs/>
          <w:sz w:val="17"/>
          <w:szCs w:val="17"/>
          <w:lang w:val="en-IN"/>
        </w:rPr>
        <w:t>Prunus</w:t>
      </w:r>
      <w:r w:rsidRPr="002F7029">
        <w:rPr>
          <w:rFonts w:ascii="Times New Roman" w:eastAsia="Times New Roman" w:hAnsi="Times New Roman" w:cs="Times New Roman"/>
          <w:bCs/>
          <w:sz w:val="17"/>
          <w:szCs w:val="17"/>
          <w:lang w:val="en-IN"/>
        </w:rPr>
        <w:t xml:space="preserve"> rootstocks changed between drought and recovery phases (</w:t>
      </w:r>
      <w:proofErr w:type="spellStart"/>
      <w:r w:rsidRPr="002F7029">
        <w:rPr>
          <w:rFonts w:ascii="Times New Roman" w:eastAsia="Times New Roman" w:hAnsi="Times New Roman" w:cs="Times New Roman"/>
          <w:bCs/>
          <w:sz w:val="17"/>
          <w:szCs w:val="17"/>
          <w:lang w:val="en-IN"/>
        </w:rPr>
        <w:t>Opazo</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rootstock-by-irrigation interaction was the largest source of variation in grapevine scion leaf shape (Migicovsky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2019), and responses of citrus and avocado to saline or desalinated water depended on the rootstock (Acosta-Rangel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2019; Navarro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2022). Deficit thresholds and marginal-water strategies must therefore be specified for scion–rootstock combinations rather than for species.</w:t>
      </w:r>
    </w:p>
    <w:p w14:paraId="5298E022" w14:textId="77777777" w:rsidR="001C1531" w:rsidRPr="00B821B1" w:rsidRDefault="001C1531" w:rsidP="00B821B1">
      <w:pPr>
        <w:spacing w:after="0" w:line="240" w:lineRule="auto"/>
        <w:contextualSpacing/>
        <w:jc w:val="both"/>
        <w:rPr>
          <w:rFonts w:ascii="Times New Roman" w:eastAsia="Times New Roman" w:hAnsi="Times New Roman" w:cs="Times New Roman"/>
          <w:bCs/>
          <w:sz w:val="20"/>
          <w:szCs w:val="20"/>
          <w:lang w:val="en-IN"/>
        </w:rPr>
      </w:pPr>
    </w:p>
    <w:p w14:paraId="13C6E319"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Interactions between canopy and water management are both synergistic and antagonistic. Netting improved soil moisture and tree water status in hot, dry environments (Brito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2021; </w:t>
      </w:r>
      <w:proofErr w:type="spellStart"/>
      <w:r w:rsidRPr="002F7029">
        <w:rPr>
          <w:rFonts w:ascii="Times New Roman" w:eastAsia="Times New Roman" w:hAnsi="Times New Roman" w:cs="Times New Roman"/>
          <w:bCs/>
          <w:sz w:val="17"/>
          <w:szCs w:val="17"/>
          <w:lang w:val="en-IN"/>
        </w:rPr>
        <w:t>Kalcsits</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2017), and covers combined with mulching reduced orchard evapotranspiration (Campi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w:t>
      </w:r>
      <w:proofErr w:type="spellStart"/>
      <w:r w:rsidRPr="002F7029">
        <w:rPr>
          <w:rFonts w:ascii="Times New Roman" w:eastAsia="Times New Roman" w:hAnsi="Times New Roman" w:cs="Times New Roman"/>
          <w:bCs/>
          <w:sz w:val="17"/>
          <w:szCs w:val="17"/>
          <w:lang w:val="en-IN"/>
        </w:rPr>
        <w:t>Moratiel</w:t>
      </w:r>
      <w:proofErr w:type="spellEnd"/>
      <w:r w:rsidRPr="002F7029">
        <w:rPr>
          <w:rFonts w:ascii="Times New Roman" w:eastAsia="Times New Roman" w:hAnsi="Times New Roman" w:cs="Times New Roman"/>
          <w:bCs/>
          <w:sz w:val="17"/>
          <w:szCs w:val="17"/>
          <w:lang w:val="en-IN"/>
        </w:rPr>
        <w:t xml:space="preserve"> &amp; Martínez-Cob, 2012), which suggests that protected canopies may permit lower irrigation volumes. Evaporative cooling, by contrast, converts heat protection into additional water demand (Hannah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2013), and water deficit aggravates fruit sunburn (J. M. Gambetta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2021). Crop load links canopy and water decisions, because fruit-bearing trees transpire substantially more than unloaded trees (Bustan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2016).</w:t>
      </w:r>
    </w:p>
    <w:p w14:paraId="5002E8E2"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lastRenderedPageBreak/>
        <w:t xml:space="preserve">Interactions involving genetics are the least tested. Reducing chilling requirement can expose early-blooming cultivars to frost, which may require active frost protection and, where frost irrigation is used, additional water in spring (Caspersen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2025; E. Fernandez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2023). Cultivar differences in hydraulic thresholds imply that deficit irrigation schedules calibrated for one cultivar may not be safe for another (Dayer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One of the few studies to evaluate genetic and protective measures together showed that a superior-colour table grape cultivar and cultivation under cover could each maintain acceptable skin colour under projected warming (Sugiura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2019).</w:t>
      </w:r>
    </w:p>
    <w:p w14:paraId="49C17EA7"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1AAD05CA"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8.2 A Conceptual Framework for Integrated Adaptation</w:t>
      </w:r>
    </w:p>
    <w:p w14:paraId="3758DDBD" w14:textId="77777777" w:rsidR="001C1531" w:rsidRPr="00903213" w:rsidRDefault="001C1531" w:rsidP="00B821B1">
      <w:pPr>
        <w:spacing w:after="0" w:line="240" w:lineRule="auto"/>
        <w:contextualSpacing/>
        <w:jc w:val="both"/>
        <w:rPr>
          <w:rFonts w:ascii="Times New Roman" w:eastAsia="Times New Roman" w:hAnsi="Times New Roman" w:cs="Times New Roman"/>
          <w:b/>
          <w:bCs/>
          <w:i/>
          <w:iCs/>
          <w:sz w:val="18"/>
          <w:szCs w:val="18"/>
          <w:lang w:val="en-IN"/>
        </w:rPr>
      </w:pPr>
    </w:p>
    <w:p w14:paraId="7AC3C822"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relationships identified in this review are summarised in Figure 1, which was developed from the present synthesis rather than adapted from earlier frameworks. Climatic hazards act on three physiological control points, namely phenological timing, tree water status and the energy balance of canopy and fruit. The four levers modify these control points, and their combined effect determines yield stability, marketable quality and water productivity. Solid arrows denote relationships supported by field experiments or long-term records, and dashed arrows denote interactions supported mainly by controlled-environment studies, modelling or mechanistic inference. The framework is intended as a structure for designing integrated experiments rather than as a validated causal model.</w:t>
      </w:r>
    </w:p>
    <w:p w14:paraId="3430FF4E"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43E1B191" w14:textId="77777777" w:rsidR="001C1531" w:rsidRPr="002F7029" w:rsidRDefault="001C1531" w:rsidP="00B821B1">
      <w:pPr>
        <w:spacing w:after="0" w:line="240" w:lineRule="auto"/>
        <w:contextualSpacing/>
        <w:jc w:val="center"/>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noProof/>
          <w:sz w:val="17"/>
          <w:szCs w:val="17"/>
          <w:lang w:val="en-IN"/>
        </w:rPr>
        <w:drawing>
          <wp:inline distT="0" distB="0" distL="0" distR="0" wp14:anchorId="77E95E4B" wp14:editId="42F223F8">
            <wp:extent cx="5709920" cy="4411133"/>
            <wp:effectExtent l="0" t="0" r="0" b="0"/>
            <wp:docPr id="1" name="Figure1" descr="Conceptual framework of climatic hazards, physiological control points, adaptation levers and orchard outcomes"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3"/>
                    <a:srcRect r="2222"/>
                    <a:stretch>
                      <a:fillRect/>
                    </a:stretch>
                  </pic:blipFill>
                  <pic:spPr bwMode="auto">
                    <a:xfrm>
                      <a:off x="0" y="0"/>
                      <a:ext cx="5716355" cy="4416104"/>
                    </a:xfrm>
                    <a:prstGeom prst="rect">
                      <a:avLst/>
                    </a:prstGeom>
                    <a:ln>
                      <a:noFill/>
                    </a:ln>
                    <a:extLst>
                      <a:ext uri="{53640926-AAD7-44D8-BBD7-CCE9431645EC}">
                        <a14:shadowObscured xmlns:a14="http://schemas.microsoft.com/office/drawing/2010/main"/>
                      </a:ext>
                    </a:extLst>
                  </pic:spPr>
                </pic:pic>
              </a:graphicData>
            </a:graphic>
          </wp:inline>
        </w:drawing>
      </w:r>
    </w:p>
    <w:p w14:paraId="6F5225D5"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4465F333" w14:textId="4F686D80" w:rsidR="001C1531" w:rsidRPr="00903213" w:rsidRDefault="001C1531" w:rsidP="00B821B1">
      <w:pPr>
        <w:spacing w:after="0" w:line="240" w:lineRule="auto"/>
        <w:contextualSpacing/>
        <w:jc w:val="center"/>
        <w:rPr>
          <w:rFonts w:ascii="Times New Roman" w:eastAsia="Times New Roman" w:hAnsi="Times New Roman" w:cs="Times New Roman"/>
          <w:b/>
          <w:bCs/>
          <w:sz w:val="17"/>
          <w:szCs w:val="17"/>
          <w:lang w:val="en-IN"/>
        </w:rPr>
      </w:pPr>
      <w:r w:rsidRPr="00903213">
        <w:rPr>
          <w:rFonts w:ascii="Times New Roman" w:eastAsia="Times New Roman" w:hAnsi="Times New Roman" w:cs="Times New Roman"/>
          <w:b/>
          <w:bCs/>
          <w:sz w:val="17"/>
          <w:szCs w:val="17"/>
          <w:lang w:val="en-IN"/>
        </w:rPr>
        <w:t>Fig</w:t>
      </w:r>
      <w:r w:rsidR="00903213">
        <w:rPr>
          <w:rFonts w:ascii="Times New Roman" w:eastAsia="Times New Roman" w:hAnsi="Times New Roman" w:cs="Times New Roman"/>
          <w:b/>
          <w:bCs/>
          <w:sz w:val="17"/>
          <w:szCs w:val="17"/>
          <w:lang w:val="en-IN"/>
        </w:rPr>
        <w:t>.</w:t>
      </w:r>
      <w:r w:rsidRPr="00903213">
        <w:rPr>
          <w:rFonts w:ascii="Times New Roman" w:eastAsia="Times New Roman" w:hAnsi="Times New Roman" w:cs="Times New Roman"/>
          <w:b/>
          <w:bCs/>
          <w:sz w:val="17"/>
          <w:szCs w:val="17"/>
          <w:lang w:val="en-IN"/>
        </w:rPr>
        <w:t xml:space="preserve"> 1. Conceptual framework of interactions among climatic hazards, physiological control points, adaptation levers and orchard outcomes in perennial fruit production, developed from the present synthesis. Solid arrows indicate relationships supported by field experiments or long-term observational records, whereas dashed arrows indicate relationships supported mainly by controlled-environment studies, modelling or mechanistic inference. The framework is not adapted from previously published figures</w:t>
      </w:r>
    </w:p>
    <w:p w14:paraId="6B6AB3AB"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162FB81B" w14:textId="77777777" w:rsidR="001C1531" w:rsidRPr="002F7029" w:rsidRDefault="001C1531" w:rsidP="00B821B1">
      <w:pPr>
        <w:pStyle w:val="Heading4"/>
        <w:keepNext w:val="0"/>
        <w:keepLines w:val="0"/>
        <w:rPr>
          <w:rFonts w:eastAsia="Times New Roman"/>
          <w:lang w:val="en-IN"/>
        </w:rPr>
      </w:pPr>
      <w:r w:rsidRPr="002F7029">
        <w:rPr>
          <w:rFonts w:eastAsia="Times New Roman"/>
          <w:lang w:val="en-IN"/>
        </w:rPr>
        <w:t>8.3 Maladaptation Risks and Decision-Making Under Uncertainty</w:t>
      </w:r>
    </w:p>
    <w:p w14:paraId="3F221FA4" w14:textId="77777777" w:rsidR="001C1531" w:rsidRPr="00903213" w:rsidRDefault="001C1531" w:rsidP="00B821B1">
      <w:pPr>
        <w:spacing w:after="0" w:line="240" w:lineRule="auto"/>
        <w:contextualSpacing/>
        <w:jc w:val="both"/>
        <w:rPr>
          <w:rFonts w:ascii="Times New Roman" w:eastAsia="Times New Roman" w:hAnsi="Times New Roman" w:cs="Times New Roman"/>
          <w:b/>
          <w:bCs/>
          <w:i/>
          <w:iCs/>
          <w:sz w:val="18"/>
          <w:szCs w:val="18"/>
          <w:lang w:val="en-IN"/>
        </w:rPr>
      </w:pPr>
    </w:p>
    <w:p w14:paraId="3FB6AFB6" w14:textId="77777777" w:rsidR="001C1531"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Several adaptation pathways carry identifiable risks of maladaptation. Moving orchards upslope reduces heat exposure and may restore chill, but it can increase exposure to spring frost at higher elevations (Sahu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w:t>
      </w:r>
      <w:proofErr w:type="spellStart"/>
      <w:r w:rsidRPr="002F7029">
        <w:rPr>
          <w:rFonts w:ascii="Times New Roman" w:eastAsia="Times New Roman" w:hAnsi="Times New Roman" w:cs="Times New Roman"/>
          <w:bCs/>
          <w:sz w:val="17"/>
          <w:szCs w:val="17"/>
          <w:lang w:val="en-IN"/>
        </w:rPr>
        <w:t>Vitasse</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2018). Netting reduces sunburn but may impair pollination and simplify orchard biological communities (Alessandrini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2026; </w:t>
      </w:r>
      <w:proofErr w:type="spellStart"/>
      <w:r w:rsidRPr="002F7029">
        <w:rPr>
          <w:rFonts w:ascii="Times New Roman" w:eastAsia="Times New Roman" w:hAnsi="Times New Roman" w:cs="Times New Roman"/>
          <w:bCs/>
          <w:sz w:val="17"/>
          <w:szCs w:val="17"/>
          <w:lang w:val="en-IN"/>
        </w:rPr>
        <w:t>Mditshwa</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2019). Irrigation offsets drought-related yield losses in modelling studies, but the additional water required may exceed what declining precipitation can supply (Fraga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and marginal water can degrade soils over time (Erel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2019). Institutional settings also shape adaptation: apple growers in Japan and South Africa who depended on cooperatives for marketing tended to adopt </w:t>
      </w:r>
      <w:r w:rsidRPr="002F7029">
        <w:rPr>
          <w:rFonts w:ascii="Times New Roman" w:eastAsia="Times New Roman" w:hAnsi="Times New Roman" w:cs="Times New Roman"/>
          <w:bCs/>
          <w:sz w:val="17"/>
          <w:szCs w:val="17"/>
          <w:lang w:val="en-IN"/>
        </w:rPr>
        <w:lastRenderedPageBreak/>
        <w:t xml:space="preserve">institution-led adaptation, whereas others relied on their own initiatives (Fujisawa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2015), and restrictive varietal regulations increase the vulnerability of wine regions (</w:t>
      </w:r>
      <w:proofErr w:type="spellStart"/>
      <w:r w:rsidRPr="002F7029">
        <w:rPr>
          <w:rFonts w:ascii="Times New Roman" w:eastAsia="Times New Roman" w:hAnsi="Times New Roman" w:cs="Times New Roman"/>
          <w:bCs/>
          <w:sz w:val="17"/>
          <w:szCs w:val="17"/>
          <w:lang w:val="en-IN"/>
        </w:rPr>
        <w:t>Tscholl</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2024).</w:t>
      </w:r>
    </w:p>
    <w:p w14:paraId="57A00D11" w14:textId="77777777" w:rsidR="00903213" w:rsidRPr="00903213" w:rsidRDefault="00903213" w:rsidP="00B821B1">
      <w:pPr>
        <w:spacing w:after="0" w:line="240" w:lineRule="auto"/>
        <w:contextualSpacing/>
        <w:jc w:val="both"/>
        <w:rPr>
          <w:rFonts w:ascii="Times New Roman" w:eastAsia="Times New Roman" w:hAnsi="Times New Roman" w:cs="Times New Roman"/>
          <w:bCs/>
          <w:sz w:val="18"/>
          <w:szCs w:val="18"/>
          <w:lang w:val="en-IN"/>
        </w:rPr>
      </w:pPr>
    </w:p>
    <w:p w14:paraId="5E7FB308"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Because fruit trees lock in decisions for decades, adaptation choices should be evaluated against a range of climate scenarios rather than a single projection. The diminishing benefit of varietal diversity at higher warming (Morales-Castilla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and the dependence of projected suitability on assumptions about adaptive capacity (Hannah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2013; van Leeuwen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2013) show that the value of each lever is scenario-dependent. Combinations that retain flexibility, such as retractable nets, rootstocks with broad tolerance profiles and irrigation systems that can be scheduled from plant-based indicators, are therefore likely to be more robust than single measures optimised for one expected future, although this proposition has not been tested empirically.</w:t>
      </w:r>
    </w:p>
    <w:p w14:paraId="3D959EDB"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6404128B" w14:textId="77777777" w:rsidR="001C1531" w:rsidRPr="002F7029" w:rsidRDefault="001C1531" w:rsidP="00B821B1">
      <w:pPr>
        <w:pStyle w:val="Heading3"/>
        <w:keepNext w:val="0"/>
        <w:keepLines w:val="0"/>
        <w:rPr>
          <w:rFonts w:eastAsia="Times New Roman"/>
          <w:lang w:val="en-IN"/>
        </w:rPr>
      </w:pPr>
      <w:r w:rsidRPr="002F7029">
        <w:rPr>
          <w:rFonts w:eastAsia="Times New Roman"/>
          <w:lang w:val="en-IN"/>
        </w:rPr>
        <w:t>9. Future Directions</w:t>
      </w:r>
    </w:p>
    <w:p w14:paraId="093730D6" w14:textId="77777777" w:rsidR="001C1531" w:rsidRPr="00903213" w:rsidRDefault="001C1531" w:rsidP="00B821B1">
      <w:pPr>
        <w:spacing w:after="0" w:line="240" w:lineRule="auto"/>
        <w:contextualSpacing/>
        <w:jc w:val="both"/>
        <w:rPr>
          <w:rFonts w:ascii="Times New Roman" w:eastAsia="Times New Roman" w:hAnsi="Times New Roman" w:cs="Times New Roman"/>
          <w:b/>
          <w:bCs/>
          <w:sz w:val="18"/>
          <w:szCs w:val="18"/>
          <w:lang w:val="en-IN"/>
        </w:rPr>
      </w:pPr>
    </w:p>
    <w:p w14:paraId="0B485A22"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most immediate priority is to test combinations of levers directly. Current evidence is dominated by single-factor experiments, whereas the interactions summarised in Section 8 determine the outcome in commercial orchards. Factorial field trials that cross rootstocks of contrasting vigour and drought strategy with protective covers and with deficit irrigation regimes are needed across climatic gradients that include Mediterranean, semi-arid, temperate and subtropical sites. Such trials should run for at least five seasons so that heatwave, drought and frost years are captured, and they should report marketable yield, fruit surface temperature and sunburn, colour and acidity, water productivity, frost damage and tree survival. Without this evidence, recommendations for combined adaptation will continue to rest on extrapolation from single-lever studies.</w:t>
      </w:r>
    </w:p>
    <w:p w14:paraId="5D994070"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71B67296"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A second immediate priority is methodological standardisation. Chilling and heat requirements need to be determined with harmonised protocols and expressed with more than one chill metric (</w:t>
      </w:r>
      <w:proofErr w:type="spellStart"/>
      <w:r w:rsidRPr="002F7029">
        <w:rPr>
          <w:rFonts w:ascii="Times New Roman" w:eastAsia="Times New Roman" w:hAnsi="Times New Roman" w:cs="Times New Roman"/>
          <w:bCs/>
          <w:sz w:val="17"/>
          <w:szCs w:val="17"/>
          <w:lang w:val="en-IN"/>
        </w:rPr>
        <w:t>Fadón</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w:t>
      </w:r>
      <w:proofErr w:type="spellStart"/>
      <w:r w:rsidRPr="002F7029">
        <w:rPr>
          <w:rFonts w:ascii="Times New Roman" w:eastAsia="Times New Roman" w:hAnsi="Times New Roman" w:cs="Times New Roman"/>
          <w:bCs/>
          <w:sz w:val="17"/>
          <w:szCs w:val="17"/>
          <w:lang w:val="en-IN"/>
        </w:rPr>
        <w:t>Luedeling</w:t>
      </w:r>
      <w:proofErr w:type="spellEnd"/>
      <w:r w:rsidRPr="002F7029">
        <w:rPr>
          <w:rFonts w:ascii="Times New Roman" w:eastAsia="Times New Roman" w:hAnsi="Times New Roman" w:cs="Times New Roman"/>
          <w:bCs/>
          <w:sz w:val="17"/>
          <w:szCs w:val="17"/>
          <w:lang w:val="en-IN"/>
        </w:rPr>
        <w:t xml:space="preserve"> &amp; Brown, 2011). Rootstock drought tolerance should be ranked under shared soil volumes or in the field, with recovery after rewatering measured explicitly, because pot experiments with isolated plants can reverse conclusions (da Silva Costa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2025; </w:t>
      </w:r>
      <w:proofErr w:type="spellStart"/>
      <w:r w:rsidRPr="002F7029">
        <w:rPr>
          <w:rFonts w:ascii="Times New Roman" w:eastAsia="Times New Roman" w:hAnsi="Times New Roman" w:cs="Times New Roman"/>
          <w:bCs/>
          <w:sz w:val="17"/>
          <w:szCs w:val="17"/>
          <w:lang w:val="en-IN"/>
        </w:rPr>
        <w:t>Opazo</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2020). Plant-based irrigation indicators require threshold values linked to yield and quality for each crop and growth stage before they can support commercial scheduling (Blanco &amp; </w:t>
      </w:r>
      <w:proofErr w:type="spellStart"/>
      <w:r w:rsidRPr="002F7029">
        <w:rPr>
          <w:rFonts w:ascii="Times New Roman" w:eastAsia="Times New Roman" w:hAnsi="Times New Roman" w:cs="Times New Roman"/>
          <w:bCs/>
          <w:sz w:val="17"/>
          <w:szCs w:val="17"/>
          <w:lang w:val="en-IN"/>
        </w:rPr>
        <w:t>Kalcsits</w:t>
      </w:r>
      <w:proofErr w:type="spellEnd"/>
      <w:r w:rsidRPr="002F7029">
        <w:rPr>
          <w:rFonts w:ascii="Times New Roman" w:eastAsia="Times New Roman" w:hAnsi="Times New Roman" w:cs="Times New Roman"/>
          <w:bCs/>
          <w:sz w:val="17"/>
          <w:szCs w:val="17"/>
          <w:lang w:val="en-IN"/>
        </w:rPr>
        <w:t xml:space="preserve">, 2024). Agrivoltaic and netting studies would benefit from the standardised indicators already called for in this field (Magarelli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2024).</w:t>
      </w:r>
    </w:p>
    <w:p w14:paraId="18B83DB2"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7F56D315"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Phenology and frost-risk modelling constitute a third priority with direct implementation value. Models such as </w:t>
      </w:r>
      <w:proofErr w:type="spellStart"/>
      <w:r w:rsidRPr="002F7029">
        <w:rPr>
          <w:rFonts w:ascii="Times New Roman" w:eastAsia="Times New Roman" w:hAnsi="Times New Roman" w:cs="Times New Roman"/>
          <w:bCs/>
          <w:sz w:val="17"/>
          <w:szCs w:val="17"/>
          <w:lang w:val="en-IN"/>
        </w:rPr>
        <w:t>PhenoFlex</w:t>
      </w:r>
      <w:proofErr w:type="spellEnd"/>
      <w:r w:rsidRPr="002F7029">
        <w:rPr>
          <w:rFonts w:ascii="Times New Roman" w:eastAsia="Times New Roman" w:hAnsi="Times New Roman" w:cs="Times New Roman"/>
          <w:bCs/>
          <w:sz w:val="17"/>
          <w:szCs w:val="17"/>
          <w:lang w:val="en-IN"/>
        </w:rPr>
        <w:t xml:space="preserve"> should be parameterised for widely planted cultivars on their commercial rootstocks, validated against independent multi-year observations and coupled with plant tissue temperature rather than air temperature alone (</w:t>
      </w:r>
      <w:proofErr w:type="spellStart"/>
      <w:r w:rsidRPr="002F7029">
        <w:rPr>
          <w:rFonts w:ascii="Times New Roman" w:eastAsia="Times New Roman" w:hAnsi="Times New Roman" w:cs="Times New Roman"/>
          <w:bCs/>
          <w:sz w:val="17"/>
          <w:szCs w:val="17"/>
          <w:lang w:val="en-IN"/>
        </w:rPr>
        <w:t>Boekee</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2023; </w:t>
      </w:r>
      <w:proofErr w:type="spellStart"/>
      <w:r w:rsidRPr="002F7029">
        <w:rPr>
          <w:rFonts w:ascii="Times New Roman" w:eastAsia="Times New Roman" w:hAnsi="Times New Roman" w:cs="Times New Roman"/>
          <w:bCs/>
          <w:sz w:val="17"/>
          <w:szCs w:val="17"/>
          <w:lang w:val="en-IN"/>
        </w:rPr>
        <w:t>Luedeling</w:t>
      </w:r>
      <w:proofErr w:type="spellEnd"/>
      <w:r w:rsidRPr="002F7029">
        <w:rPr>
          <w:rFonts w:ascii="Times New Roman" w:eastAsia="Times New Roman" w:hAnsi="Times New Roman" w:cs="Times New Roman"/>
          <w:bCs/>
          <w:sz w:val="17"/>
          <w:szCs w:val="17"/>
          <w:lang w:val="en-IN"/>
        </w:rPr>
        <w:t xml:space="preserve">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2021). Outputs expressed as probabilities of insufficient chill, frost damage and heat injury for specific cultivar–rootstock combinations would support planting decisions and insurance design more directly than current regional chill maps.</w:t>
      </w:r>
    </w:p>
    <w:p w14:paraId="701FF23C"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40ECD0BA"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Over the longer term, genomic prediction and genomic offset analysis require validation against realised performance in common gardens spanning future climate analogues. Multi-environment populations such as REFPOP provide a model, but they should be extended to rootstocks and to scion–rootstock combinations, and their predictions should be tested in years with climatic extremes (Criado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2026; Jung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2022). Traits for which genomic tools are currently scarce, including heat tolerance of fruit and flowers, hydraulic thresholds and phenological plasticity, should be prioritised. Parallel work is needed on the regulatory and market pathways through which climate-adapted cultivars, including those produced with new breeding technologies, can reach growers within a useful time frame.</w:t>
      </w:r>
    </w:p>
    <w:p w14:paraId="100CF37A"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58105266"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 xml:space="preserve">Finally, adaptation measures must be evaluated for their ecological and economic consequences. The effects of extensive netting on pollinators, natural enemies and orchard biodiversity require landscape-scale studies outside the apple systems and Western countries that dominate current evidence (Alessandrini </w:t>
      </w:r>
      <w:r w:rsidRPr="002F7029">
        <w:rPr>
          <w:rFonts w:ascii="Times New Roman" w:eastAsia="Times New Roman" w:hAnsi="Times New Roman" w:cs="Times New Roman"/>
          <w:bCs/>
          <w:i/>
          <w:iCs/>
          <w:sz w:val="17"/>
          <w:szCs w:val="17"/>
          <w:lang w:val="en-IN"/>
        </w:rPr>
        <w:t>et al.</w:t>
      </w:r>
      <w:r w:rsidRPr="002F7029">
        <w:rPr>
          <w:rFonts w:ascii="Times New Roman" w:eastAsia="Times New Roman" w:hAnsi="Times New Roman" w:cs="Times New Roman"/>
          <w:bCs/>
          <w:sz w:val="17"/>
          <w:szCs w:val="17"/>
          <w:lang w:val="en-IN"/>
        </w:rPr>
        <w:t xml:space="preserve">, 2026). Long-term monitoring of soils irrigated with reclaimed or desalinated water should quantify </w:t>
      </w:r>
      <w:proofErr w:type="spellStart"/>
      <w:r w:rsidRPr="002F7029">
        <w:rPr>
          <w:rFonts w:ascii="Times New Roman" w:eastAsia="Times New Roman" w:hAnsi="Times New Roman" w:cs="Times New Roman"/>
          <w:bCs/>
          <w:sz w:val="17"/>
          <w:szCs w:val="17"/>
          <w:lang w:val="en-IN"/>
        </w:rPr>
        <w:t>sodification</w:t>
      </w:r>
      <w:proofErr w:type="spellEnd"/>
      <w:r w:rsidRPr="002F7029">
        <w:rPr>
          <w:rFonts w:ascii="Times New Roman" w:eastAsia="Times New Roman" w:hAnsi="Times New Roman" w:cs="Times New Roman"/>
          <w:bCs/>
          <w:sz w:val="17"/>
          <w:szCs w:val="17"/>
          <w:lang w:val="en-IN"/>
        </w:rPr>
        <w:t>, boron accumulation and leaching requirements under declining rainfall. Cost–benefit analyses of adaptation packages, rather than of isolated measures, are needed to identify which combinations are financially viable for growers of different scales and to inform public support for adaptation.</w:t>
      </w:r>
    </w:p>
    <w:p w14:paraId="01E54053"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0536034D" w14:textId="77777777" w:rsidR="001C1531" w:rsidRPr="002F7029" w:rsidRDefault="001C1531" w:rsidP="00B821B1">
      <w:pPr>
        <w:pStyle w:val="Heading3"/>
        <w:keepNext w:val="0"/>
        <w:keepLines w:val="0"/>
        <w:rPr>
          <w:rFonts w:eastAsia="Times New Roman"/>
          <w:lang w:val="en-IN"/>
        </w:rPr>
      </w:pPr>
      <w:r w:rsidRPr="002F7029">
        <w:rPr>
          <w:rFonts w:eastAsia="Times New Roman"/>
          <w:lang w:val="en-IN"/>
        </w:rPr>
        <w:t>10. Conclusions</w:t>
      </w:r>
    </w:p>
    <w:p w14:paraId="513367A6" w14:textId="77777777" w:rsidR="001C1531" w:rsidRPr="00903213" w:rsidRDefault="001C1531" w:rsidP="00B821B1">
      <w:pPr>
        <w:spacing w:after="0" w:line="240" w:lineRule="auto"/>
        <w:contextualSpacing/>
        <w:jc w:val="both"/>
        <w:rPr>
          <w:rFonts w:ascii="Times New Roman" w:eastAsia="Times New Roman" w:hAnsi="Times New Roman" w:cs="Times New Roman"/>
          <w:b/>
          <w:bCs/>
          <w:sz w:val="18"/>
          <w:szCs w:val="18"/>
          <w:lang w:val="en-IN"/>
        </w:rPr>
      </w:pPr>
    </w:p>
    <w:p w14:paraId="04295833"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This review set out to evaluate how genetic improvement, rootstocks, canopy management and water-smart irrigation can be combined to make fruit production resilient to climate change. The evidence supports a consistent physiological picture. Declining winter chill threatens dormancy completion in the warmest production areas, advancing phenology keeps spring frost a regionally variable hazard, heat raises fruit surface temperatures well above air temperature and alters fruit composition, and drought and marginal water impose water and ion stresses that are increasingly linked. Each hazard can be addressed by more than one lever, and no single lever is sufficient.</w:t>
      </w:r>
    </w:p>
    <w:p w14:paraId="01B040EB"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41294AFC"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most defensible conclusions concern mechanisms that have been replicated across independent studies and seasons. Rootstocks control vigour partly through hydraulic restriction and protect scions from chloride through constitutive exclusion. Protective netting and shading reduce fruit temperature and sunburn. RDI during stress-tolerant stages can save substantial amounts of water without yield loss when soil water storage and phenology are taken into account. Plant water status can be measured reliably enough to guide irrigation. Phenological genetics is advanced enough to support marker-based selection for chilling requirement in some species.</w:t>
      </w:r>
    </w:p>
    <w:p w14:paraId="7A60B520"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682E70B3" w14:textId="77777777" w:rsidR="001C1531"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lastRenderedPageBreak/>
        <w:t>Other conclusions remain tentative. Field-level drought tolerance from polyploid rootstocks, the transferability of genomic prediction to novel climates, the performance of agrivoltaic systems in orchards, the advantage of PRD over conventional deficit irrigation and the long-term sustainability of marginal water have not been established. Interactions among levers are the largest gap: they are mechanistically evident and sometimes documented, as in the link between dwarfing rootstocks, exposed canopies and sunburn, but they are rarely tested in combined experiments.</w:t>
      </w:r>
    </w:p>
    <w:p w14:paraId="334E091B" w14:textId="77777777" w:rsidR="00903213" w:rsidRPr="00903213" w:rsidRDefault="00903213" w:rsidP="00B821B1">
      <w:pPr>
        <w:spacing w:after="0" w:line="240" w:lineRule="auto"/>
        <w:contextualSpacing/>
        <w:jc w:val="both"/>
        <w:rPr>
          <w:rFonts w:ascii="Times New Roman" w:eastAsia="Times New Roman" w:hAnsi="Times New Roman" w:cs="Times New Roman"/>
          <w:bCs/>
          <w:sz w:val="18"/>
          <w:szCs w:val="18"/>
          <w:lang w:val="en-IN"/>
        </w:rPr>
      </w:pPr>
    </w:p>
    <w:p w14:paraId="58A663FC"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broader significance of this synthesis is that climate resilience in perennial fruit production should be designed as a system property rather than pursued lever by lever. Choices about cultivar, rootstock, canopy and water interact through shared physiological control points, and the same measure can reduce one risk while increasing another. Integrated, long-term and multi-site evidence is the precondition for reliable adaptation advice.</w:t>
      </w:r>
    </w:p>
    <w:p w14:paraId="6483C484"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0256960A" w14:textId="77777777" w:rsidR="001C1531" w:rsidRPr="002F7029" w:rsidRDefault="001C1531" w:rsidP="00B821B1">
      <w:pPr>
        <w:pStyle w:val="Heading3"/>
        <w:keepNext w:val="0"/>
        <w:keepLines w:val="0"/>
        <w:rPr>
          <w:rFonts w:eastAsia="Times New Roman"/>
          <w:lang w:val="en-IN"/>
        </w:rPr>
      </w:pPr>
      <w:r w:rsidRPr="002F7029">
        <w:rPr>
          <w:rFonts w:eastAsia="Times New Roman"/>
          <w:lang w:val="en-IN"/>
        </w:rPr>
        <w:t>11. Limitations</w:t>
      </w:r>
    </w:p>
    <w:p w14:paraId="310CA41A" w14:textId="77777777" w:rsidR="001C1531" w:rsidRPr="00903213" w:rsidRDefault="001C1531" w:rsidP="00B821B1">
      <w:pPr>
        <w:spacing w:after="0" w:line="240" w:lineRule="auto"/>
        <w:contextualSpacing/>
        <w:jc w:val="both"/>
        <w:rPr>
          <w:rFonts w:ascii="Times New Roman" w:eastAsia="Times New Roman" w:hAnsi="Times New Roman" w:cs="Times New Roman"/>
          <w:b/>
          <w:bCs/>
          <w:sz w:val="18"/>
          <w:szCs w:val="18"/>
          <w:lang w:val="en-IN"/>
        </w:rPr>
      </w:pPr>
    </w:p>
    <w:p w14:paraId="4EC6A8CA"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first limitation is intrinsic to the critical narrative review design. Although the search, eligibility criteria and appraisal rubric were made explicit, the selection and interpretation of studies remain subject to the judgement of the reviewer, and selection or interpretive bias cannot be excluded. In keeping with narrative review methodology, the review did not report screening or deduplication counts, did not use a flow diagram and did not employ independent dual appraisal, which are requirements of systematic reviews rather than of critical narrative syntheses. Its conclusions should therefore be read as a reasoned appraisal of the evidence rather than as an exhaustive account.</w:t>
      </w:r>
    </w:p>
    <w:p w14:paraId="5BE42C49"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36463F34"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Access to subscription bibliographic databases was not available, and the search relied on open multidisciplinary, life-science and regional platforms supplemented by citation chaining. Some relevant studies may consequently have been missed, particularly those indexed only in agricultural abstracting services. Where full texts were not openly accessible, appraisal relied on abstracts, methods descriptions and publisher metadata, which limited the depth with which some studies could be evaluated. The restriction to English-language publications may have excluded relevant evidence published in other languages, notably from Latin America, China and the Mediterranean region.</w:t>
      </w:r>
    </w:p>
    <w:p w14:paraId="4E02C889"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3FF374FF" w14:textId="77777777" w:rsidR="001C1531" w:rsidRPr="002F7029" w:rsidRDefault="001C1531" w:rsidP="00B821B1">
      <w:pPr>
        <w:spacing w:after="0" w:line="240" w:lineRule="auto"/>
        <w:contextualSpacing/>
        <w:jc w:val="both"/>
        <w:rPr>
          <w:rFonts w:ascii="Times New Roman" w:eastAsia="Times New Roman" w:hAnsi="Times New Roman" w:cs="Times New Roman"/>
          <w:bCs/>
          <w:sz w:val="17"/>
          <w:szCs w:val="17"/>
          <w:lang w:val="en-IN"/>
        </w:rPr>
      </w:pPr>
      <w:r w:rsidRPr="002F7029">
        <w:rPr>
          <w:rFonts w:ascii="Times New Roman" w:eastAsia="Times New Roman" w:hAnsi="Times New Roman" w:cs="Times New Roman"/>
          <w:bCs/>
          <w:sz w:val="17"/>
          <w:szCs w:val="17"/>
          <w:lang w:val="en-IN"/>
        </w:rPr>
        <w:t>The evidence base itself imposes further limitations. Studies differed widely in crop, cultivar, rootstock, climate, design and outcome measures, which prevented quantitative synthesis and limits direct comparison. Field evidence is concentrated in Mediterranean-type and temperate regions of the Northern Hemisphere and in a small number of crops, especially apple and grapevine, so generalisation to tropical fruit crops and to smallholder systems is uncertain. Most experiments lasted only a few seasons, long-term evidence is scarce, and the literature on genomic tools, agrivoltaics and sensing technologies is developing rapidly, so some conclusions may be overtaken by new findings. Publication bias towards positive results is also likely, particularly for adaptation technologies.</w:t>
      </w:r>
    </w:p>
    <w:p w14:paraId="56841A84" w14:textId="5BD402B7" w:rsidR="001C1531" w:rsidRPr="00903213" w:rsidRDefault="001C1531" w:rsidP="00B821B1">
      <w:pPr>
        <w:spacing w:after="0" w:line="240" w:lineRule="auto"/>
        <w:contextualSpacing/>
        <w:jc w:val="both"/>
        <w:rPr>
          <w:rFonts w:ascii="Times New Roman" w:eastAsia="Times New Roman" w:hAnsi="Times New Roman" w:cs="Times New Roman"/>
          <w:bCs/>
          <w:sz w:val="18"/>
          <w:szCs w:val="18"/>
          <w:lang w:val="en-IN"/>
        </w:rPr>
      </w:pPr>
    </w:p>
    <w:p w14:paraId="6DB22CA3" w14:textId="77777777" w:rsidR="001C1531" w:rsidRPr="002F7029" w:rsidRDefault="001C1531" w:rsidP="00B821B1">
      <w:pPr>
        <w:pStyle w:val="Heading3"/>
        <w:keepNext w:val="0"/>
        <w:keepLines w:val="0"/>
        <w:rPr>
          <w:rFonts w:eastAsia="Calibri"/>
        </w:rPr>
      </w:pPr>
      <w:bookmarkStart w:id="0" w:name="_Hlk237856463"/>
      <w:bookmarkStart w:id="1" w:name="_Hlk239068730"/>
      <w:bookmarkStart w:id="2" w:name="_Hlk237862032"/>
      <w:r w:rsidRPr="002F7029">
        <w:rPr>
          <w:rFonts w:eastAsia="Calibri"/>
        </w:rPr>
        <w:t>Declaration of AI Use</w:t>
      </w:r>
    </w:p>
    <w:p w14:paraId="67676C0A" w14:textId="77777777" w:rsidR="001C1531" w:rsidRPr="00903213" w:rsidRDefault="001C1531" w:rsidP="00B821B1">
      <w:pPr>
        <w:spacing w:after="0" w:line="240" w:lineRule="auto"/>
        <w:jc w:val="both"/>
        <w:rPr>
          <w:rFonts w:ascii="Times New Roman" w:eastAsia="Calibri" w:hAnsi="Times New Roman" w:cs="Times New Roman"/>
          <w:kern w:val="2"/>
          <w:sz w:val="18"/>
          <w:szCs w:val="18"/>
        </w:rPr>
      </w:pPr>
    </w:p>
    <w:p w14:paraId="05A89B2C" w14:textId="77777777" w:rsidR="001C1531" w:rsidRPr="002F7029" w:rsidRDefault="001C1531" w:rsidP="00B821B1">
      <w:pPr>
        <w:spacing w:after="0" w:line="240" w:lineRule="auto"/>
        <w:jc w:val="both"/>
        <w:rPr>
          <w:rFonts w:ascii="Times New Roman" w:eastAsia="Calibri" w:hAnsi="Times New Roman" w:cs="Times New Roman"/>
          <w:kern w:val="2"/>
          <w:sz w:val="17"/>
          <w:szCs w:val="17"/>
        </w:rPr>
      </w:pPr>
      <w:r w:rsidRPr="002F7029">
        <w:rPr>
          <w:rFonts w:ascii="Times New Roman" w:eastAsia="Calibri" w:hAnsi="Times New Roman" w:cs="Times New Roman"/>
          <w:kern w:val="2"/>
          <w:sz w:val="17"/>
          <w:szCs w:val="17"/>
        </w:rPr>
        <w:t xml:space="preserve">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 </w:t>
      </w:r>
    </w:p>
    <w:p w14:paraId="30558ACD" w14:textId="77777777" w:rsidR="001C1531" w:rsidRPr="00903213" w:rsidRDefault="001C1531" w:rsidP="00B821B1">
      <w:pPr>
        <w:spacing w:after="0" w:line="240" w:lineRule="auto"/>
        <w:jc w:val="both"/>
        <w:rPr>
          <w:rFonts w:ascii="Times New Roman" w:eastAsia="Calibri" w:hAnsi="Times New Roman" w:cs="Times New Roman"/>
          <w:kern w:val="2"/>
          <w:sz w:val="18"/>
          <w:szCs w:val="18"/>
        </w:rPr>
      </w:pPr>
    </w:p>
    <w:p w14:paraId="66CBCAC0" w14:textId="77777777" w:rsidR="001C1531" w:rsidRPr="002F7029" w:rsidRDefault="001C1531" w:rsidP="00B821B1">
      <w:pPr>
        <w:pStyle w:val="Heading3"/>
        <w:keepNext w:val="0"/>
        <w:keepLines w:val="0"/>
      </w:pPr>
      <w:r w:rsidRPr="002F7029">
        <w:t>Competing Interests</w:t>
      </w:r>
    </w:p>
    <w:p w14:paraId="332E1CDD" w14:textId="77777777" w:rsidR="001C1531" w:rsidRPr="00903213" w:rsidRDefault="001C1531" w:rsidP="00B821B1">
      <w:pPr>
        <w:pStyle w:val="ReferHead"/>
        <w:keepNext w:val="0"/>
        <w:spacing w:after="0"/>
        <w:rPr>
          <w:rFonts w:ascii="Times New Roman" w:hAnsi="Times New Roman"/>
          <w:sz w:val="18"/>
          <w:szCs w:val="18"/>
        </w:rPr>
      </w:pPr>
    </w:p>
    <w:p w14:paraId="0B162075" w14:textId="77777777" w:rsidR="001C1531" w:rsidRPr="002F7029" w:rsidRDefault="001C1531" w:rsidP="00B821B1">
      <w:pPr>
        <w:pStyle w:val="ReferHead"/>
        <w:keepNext w:val="0"/>
        <w:spacing w:after="0"/>
        <w:rPr>
          <w:rFonts w:ascii="Times New Roman" w:hAnsi="Times New Roman"/>
          <w:b w:val="0"/>
          <w:caps w:val="0"/>
          <w:sz w:val="17"/>
          <w:szCs w:val="17"/>
        </w:rPr>
      </w:pPr>
      <w:r w:rsidRPr="002F7029">
        <w:rPr>
          <w:rFonts w:ascii="Times New Roman" w:hAnsi="Times New Roman"/>
          <w:b w:val="0"/>
          <w:caps w:val="0"/>
          <w:sz w:val="17"/>
          <w:szCs w:val="17"/>
        </w:rPr>
        <w:t>Authors have declared that no competing interests exist.</w:t>
      </w:r>
    </w:p>
    <w:p w14:paraId="58C8AFF8" w14:textId="77777777" w:rsidR="001C1531" w:rsidRPr="00903213" w:rsidRDefault="001C1531" w:rsidP="00B821B1">
      <w:pPr>
        <w:spacing w:after="0" w:line="240" w:lineRule="auto"/>
        <w:contextualSpacing/>
        <w:jc w:val="both"/>
        <w:rPr>
          <w:rFonts w:ascii="Times New Roman" w:eastAsia="Times New Roman" w:hAnsi="Times New Roman" w:cs="Times New Roman"/>
          <w:bCs/>
          <w:sz w:val="18"/>
          <w:szCs w:val="18"/>
        </w:rPr>
      </w:pPr>
    </w:p>
    <w:bookmarkEnd w:id="0"/>
    <w:bookmarkEnd w:id="1"/>
    <w:bookmarkEnd w:id="2"/>
    <w:p w14:paraId="45F78D4A" w14:textId="77777777" w:rsidR="001C1531" w:rsidRPr="002F7029" w:rsidRDefault="001C1531" w:rsidP="00B821B1">
      <w:pPr>
        <w:pStyle w:val="Heading3"/>
        <w:keepNext w:val="0"/>
        <w:keepLines w:val="0"/>
        <w:rPr>
          <w:rFonts w:eastAsia="Times New Roman"/>
          <w:lang w:val="en-IN"/>
        </w:rPr>
      </w:pPr>
      <w:r w:rsidRPr="002F7029">
        <w:rPr>
          <w:rFonts w:eastAsia="Times New Roman"/>
          <w:lang w:val="en-IN"/>
        </w:rPr>
        <w:t>References</w:t>
      </w:r>
    </w:p>
    <w:p w14:paraId="029DEB63" w14:textId="77777777" w:rsidR="001C1531" w:rsidRPr="00903213" w:rsidRDefault="001C1531" w:rsidP="00B821B1">
      <w:pPr>
        <w:spacing w:after="0" w:line="240" w:lineRule="auto"/>
        <w:contextualSpacing/>
        <w:jc w:val="both"/>
        <w:rPr>
          <w:rFonts w:ascii="Times New Roman" w:eastAsia="Times New Roman" w:hAnsi="Times New Roman" w:cs="Times New Roman"/>
          <w:b/>
          <w:bCs/>
          <w:sz w:val="18"/>
          <w:szCs w:val="18"/>
          <w:lang w:val="en-IN"/>
        </w:rPr>
      </w:pPr>
    </w:p>
    <w:p w14:paraId="44F42D18"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Acosta-Rangel, A. M., Li, R., Celis, N., Suarez, D. L., Santiago, L. S., Arpaia, M. L., &amp; Mauk, P. A. (2019). The physiological response of ‘Hass’ avocado to salinity as influenced by rootstock. </w:t>
      </w:r>
      <w:r w:rsidRPr="002F7029">
        <w:rPr>
          <w:rFonts w:ascii="Times New Roman" w:eastAsia="Times New Roman" w:hAnsi="Times New Roman" w:cs="Times New Roman"/>
          <w:bCs/>
          <w:i/>
          <w:iCs/>
          <w:color w:val="000000" w:themeColor="text1"/>
          <w:sz w:val="17"/>
          <w:szCs w:val="17"/>
          <w:lang w:val="en-IN"/>
        </w:rPr>
        <w:t xml:space="preserve">Scientia </w:t>
      </w:r>
      <w:proofErr w:type="spellStart"/>
      <w:r w:rsidRPr="002F7029">
        <w:rPr>
          <w:rFonts w:ascii="Times New Roman" w:eastAsia="Times New Roman" w:hAnsi="Times New Roman" w:cs="Times New Roman"/>
          <w:bCs/>
          <w:i/>
          <w:iCs/>
          <w:color w:val="000000" w:themeColor="text1"/>
          <w:sz w:val="17"/>
          <w:szCs w:val="17"/>
          <w:lang w:val="en-IN"/>
        </w:rPr>
        <w:t>Horticulturae</w:t>
      </w:r>
      <w:proofErr w:type="spellEnd"/>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256</w:t>
      </w:r>
      <w:r w:rsidRPr="002F7029">
        <w:rPr>
          <w:rFonts w:ascii="Times New Roman" w:eastAsia="Times New Roman" w:hAnsi="Times New Roman" w:cs="Times New Roman"/>
          <w:bCs/>
          <w:color w:val="000000" w:themeColor="text1"/>
          <w:sz w:val="17"/>
          <w:szCs w:val="17"/>
          <w:lang w:val="en-IN"/>
        </w:rPr>
        <w:t xml:space="preserve">, Article 108629. </w:t>
      </w:r>
      <w:hyperlink r:id="rId14">
        <w:r w:rsidRPr="002F7029">
          <w:rPr>
            <w:rStyle w:val="Hyperlink"/>
            <w:rFonts w:ascii="Times New Roman" w:eastAsia="Times New Roman" w:hAnsi="Times New Roman" w:cs="Times New Roman"/>
            <w:bCs/>
            <w:color w:val="000000" w:themeColor="text1"/>
            <w:sz w:val="17"/>
            <w:szCs w:val="17"/>
            <w:u w:val="none"/>
            <w:lang w:val="en-IN"/>
          </w:rPr>
          <w:t>https://doi.org/10.1016/j.scienta.2019.108629</w:t>
        </w:r>
      </w:hyperlink>
    </w:p>
    <w:p w14:paraId="6672CA0F"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Albacete, A., Martinez-Andujar, C., Martinez-Perez, A., Thompson, A. J., Dodd, I. C., &amp; Perez-</w:t>
      </w:r>
      <w:proofErr w:type="spellStart"/>
      <w:r w:rsidRPr="002F7029">
        <w:rPr>
          <w:rFonts w:ascii="Times New Roman" w:eastAsia="Times New Roman" w:hAnsi="Times New Roman" w:cs="Times New Roman"/>
          <w:bCs/>
          <w:color w:val="000000" w:themeColor="text1"/>
          <w:sz w:val="17"/>
          <w:szCs w:val="17"/>
          <w:lang w:val="en-IN"/>
        </w:rPr>
        <w:t>Alfocea</w:t>
      </w:r>
      <w:proofErr w:type="spellEnd"/>
      <w:r w:rsidRPr="002F7029">
        <w:rPr>
          <w:rFonts w:ascii="Times New Roman" w:eastAsia="Times New Roman" w:hAnsi="Times New Roman" w:cs="Times New Roman"/>
          <w:bCs/>
          <w:color w:val="000000" w:themeColor="text1"/>
          <w:sz w:val="17"/>
          <w:szCs w:val="17"/>
          <w:lang w:val="en-IN"/>
        </w:rPr>
        <w:t xml:space="preserve">, F. (2015). Unravelling rootstock × scion interactions to improve food security. </w:t>
      </w:r>
      <w:r w:rsidRPr="002F7029">
        <w:rPr>
          <w:rFonts w:ascii="Times New Roman" w:eastAsia="Times New Roman" w:hAnsi="Times New Roman" w:cs="Times New Roman"/>
          <w:bCs/>
          <w:i/>
          <w:iCs/>
          <w:color w:val="000000" w:themeColor="text1"/>
          <w:sz w:val="17"/>
          <w:szCs w:val="17"/>
          <w:lang w:val="en-IN"/>
        </w:rPr>
        <w:t>Journal of Experimental Botany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66</w:t>
      </w:r>
      <w:r w:rsidRPr="002F7029">
        <w:rPr>
          <w:rFonts w:ascii="Times New Roman" w:eastAsia="Times New Roman" w:hAnsi="Times New Roman" w:cs="Times New Roman"/>
          <w:bCs/>
          <w:color w:val="000000" w:themeColor="text1"/>
          <w:sz w:val="17"/>
          <w:szCs w:val="17"/>
          <w:lang w:val="en-IN"/>
        </w:rPr>
        <w:t xml:space="preserve">(8), 2211–2226. </w:t>
      </w:r>
      <w:hyperlink r:id="rId15">
        <w:r w:rsidRPr="002F7029">
          <w:rPr>
            <w:rStyle w:val="Hyperlink"/>
            <w:rFonts w:ascii="Times New Roman" w:eastAsia="Times New Roman" w:hAnsi="Times New Roman" w:cs="Times New Roman"/>
            <w:bCs/>
            <w:color w:val="000000" w:themeColor="text1"/>
            <w:sz w:val="17"/>
            <w:szCs w:val="17"/>
            <w:u w:val="none"/>
            <w:lang w:val="en-IN"/>
          </w:rPr>
          <w:t>https://doi.org/10.1093/jxb/erv027</w:t>
        </w:r>
      </w:hyperlink>
    </w:p>
    <w:p w14:paraId="5CBE8135"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Alessandrini, C., Sethi, K., Granata, E., </w:t>
      </w:r>
      <w:proofErr w:type="spellStart"/>
      <w:r w:rsidRPr="002F7029">
        <w:rPr>
          <w:rFonts w:ascii="Times New Roman" w:eastAsia="Times New Roman" w:hAnsi="Times New Roman" w:cs="Times New Roman"/>
          <w:bCs/>
          <w:color w:val="000000" w:themeColor="text1"/>
          <w:sz w:val="17"/>
          <w:szCs w:val="17"/>
          <w:lang w:val="en-IN"/>
        </w:rPr>
        <w:t>Mogilnaia</w:t>
      </w:r>
      <w:proofErr w:type="spellEnd"/>
      <w:r w:rsidRPr="002F7029">
        <w:rPr>
          <w:rFonts w:ascii="Times New Roman" w:eastAsia="Times New Roman" w:hAnsi="Times New Roman" w:cs="Times New Roman"/>
          <w:bCs/>
          <w:color w:val="000000" w:themeColor="text1"/>
          <w:sz w:val="17"/>
          <w:szCs w:val="17"/>
          <w:lang w:val="en-IN"/>
        </w:rPr>
        <w:t xml:space="preserve">, E., </w:t>
      </w:r>
      <w:proofErr w:type="spellStart"/>
      <w:r w:rsidRPr="002F7029">
        <w:rPr>
          <w:rFonts w:ascii="Times New Roman" w:eastAsia="Times New Roman" w:hAnsi="Times New Roman" w:cs="Times New Roman"/>
          <w:bCs/>
          <w:color w:val="000000" w:themeColor="text1"/>
          <w:sz w:val="17"/>
          <w:szCs w:val="17"/>
          <w:lang w:val="en-IN"/>
        </w:rPr>
        <w:t>Vitangeli</w:t>
      </w:r>
      <w:proofErr w:type="spellEnd"/>
      <w:r w:rsidRPr="002F7029">
        <w:rPr>
          <w:rFonts w:ascii="Times New Roman" w:eastAsia="Times New Roman" w:hAnsi="Times New Roman" w:cs="Times New Roman"/>
          <w:bCs/>
          <w:color w:val="000000" w:themeColor="text1"/>
          <w:sz w:val="17"/>
          <w:szCs w:val="17"/>
          <w:lang w:val="en-IN"/>
        </w:rPr>
        <w:t xml:space="preserve">, V., Zanfei, G., Fedrigotti, C., Biella, P., Scaravelli, D., Marchesi, L., </w:t>
      </w:r>
      <w:proofErr w:type="spellStart"/>
      <w:r w:rsidRPr="002F7029">
        <w:rPr>
          <w:rFonts w:ascii="Times New Roman" w:eastAsia="Times New Roman" w:hAnsi="Times New Roman" w:cs="Times New Roman"/>
          <w:bCs/>
          <w:color w:val="000000" w:themeColor="text1"/>
          <w:sz w:val="17"/>
          <w:szCs w:val="17"/>
          <w:lang w:val="en-IN"/>
        </w:rPr>
        <w:t>Batáry</w:t>
      </w:r>
      <w:proofErr w:type="spellEnd"/>
      <w:r w:rsidRPr="002F7029">
        <w:rPr>
          <w:rFonts w:ascii="Times New Roman" w:eastAsia="Times New Roman" w:hAnsi="Times New Roman" w:cs="Times New Roman"/>
          <w:bCs/>
          <w:color w:val="000000" w:themeColor="text1"/>
          <w:sz w:val="17"/>
          <w:szCs w:val="17"/>
          <w:lang w:val="en-IN"/>
        </w:rPr>
        <w:t xml:space="preserve">, P., Rubolini, D., Pedrini, P., &amp; Brambilla, M. (2026). Orchard netting impacts on biodiversity leading to cascading effects at the ecosystem level. </w:t>
      </w:r>
      <w:r w:rsidRPr="002F7029">
        <w:rPr>
          <w:rFonts w:ascii="Times New Roman" w:eastAsia="Times New Roman" w:hAnsi="Times New Roman" w:cs="Times New Roman"/>
          <w:bCs/>
          <w:i/>
          <w:iCs/>
          <w:color w:val="000000" w:themeColor="text1"/>
          <w:sz w:val="17"/>
          <w:szCs w:val="17"/>
          <w:lang w:val="en-IN"/>
        </w:rPr>
        <w:t>Biological Reviews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101</w:t>
      </w:r>
      <w:r w:rsidRPr="002F7029">
        <w:rPr>
          <w:rFonts w:ascii="Times New Roman" w:eastAsia="Times New Roman" w:hAnsi="Times New Roman" w:cs="Times New Roman"/>
          <w:bCs/>
          <w:color w:val="000000" w:themeColor="text1"/>
          <w:sz w:val="17"/>
          <w:szCs w:val="17"/>
          <w:lang w:val="en-IN"/>
        </w:rPr>
        <w:t xml:space="preserve">(5), 2448–2466. </w:t>
      </w:r>
      <w:hyperlink r:id="rId16">
        <w:r w:rsidRPr="002F7029">
          <w:rPr>
            <w:rStyle w:val="Hyperlink"/>
            <w:rFonts w:ascii="Times New Roman" w:eastAsia="Times New Roman" w:hAnsi="Times New Roman" w:cs="Times New Roman"/>
            <w:bCs/>
            <w:color w:val="000000" w:themeColor="text1"/>
            <w:sz w:val="17"/>
            <w:szCs w:val="17"/>
            <w:u w:val="none"/>
            <w:lang w:val="en-IN"/>
          </w:rPr>
          <w:t>https://doi.org/10.1002/brv.70186</w:t>
        </w:r>
      </w:hyperlink>
    </w:p>
    <w:p w14:paraId="136FAD57"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Allard, A., Bink, M. C. A. M., Martinez, S., Kelner, J.-J., </w:t>
      </w:r>
      <w:proofErr w:type="spellStart"/>
      <w:r w:rsidRPr="002F7029">
        <w:rPr>
          <w:rFonts w:ascii="Times New Roman" w:eastAsia="Times New Roman" w:hAnsi="Times New Roman" w:cs="Times New Roman"/>
          <w:bCs/>
          <w:color w:val="000000" w:themeColor="text1"/>
          <w:sz w:val="17"/>
          <w:szCs w:val="17"/>
          <w:lang w:val="en-IN"/>
        </w:rPr>
        <w:t>Legave</w:t>
      </w:r>
      <w:proofErr w:type="spellEnd"/>
      <w:r w:rsidRPr="002F7029">
        <w:rPr>
          <w:rFonts w:ascii="Times New Roman" w:eastAsia="Times New Roman" w:hAnsi="Times New Roman" w:cs="Times New Roman"/>
          <w:bCs/>
          <w:color w:val="000000" w:themeColor="text1"/>
          <w:sz w:val="17"/>
          <w:szCs w:val="17"/>
          <w:lang w:val="en-IN"/>
        </w:rPr>
        <w:t xml:space="preserve">, J.-M., di Guardo, M., Di Pierro, E. A., Laurens, F., van de Weg, E. W., &amp; Costes, E. (2016). Detecting QTLs and putative candidate genes involved in budbreak and flowering time in an apple </w:t>
      </w:r>
      <w:proofErr w:type="spellStart"/>
      <w:r w:rsidRPr="002F7029">
        <w:rPr>
          <w:rFonts w:ascii="Times New Roman" w:eastAsia="Times New Roman" w:hAnsi="Times New Roman" w:cs="Times New Roman"/>
          <w:bCs/>
          <w:color w:val="000000" w:themeColor="text1"/>
          <w:sz w:val="17"/>
          <w:szCs w:val="17"/>
          <w:lang w:val="en-IN"/>
        </w:rPr>
        <w:t>multiparental</w:t>
      </w:r>
      <w:proofErr w:type="spellEnd"/>
      <w:r w:rsidRPr="002F7029">
        <w:rPr>
          <w:rFonts w:ascii="Times New Roman" w:eastAsia="Times New Roman" w:hAnsi="Times New Roman" w:cs="Times New Roman"/>
          <w:bCs/>
          <w:color w:val="000000" w:themeColor="text1"/>
          <w:sz w:val="17"/>
          <w:szCs w:val="17"/>
          <w:lang w:val="en-IN"/>
        </w:rPr>
        <w:t xml:space="preserve"> population. </w:t>
      </w:r>
      <w:r w:rsidRPr="002F7029">
        <w:rPr>
          <w:rFonts w:ascii="Times New Roman" w:eastAsia="Times New Roman" w:hAnsi="Times New Roman" w:cs="Times New Roman"/>
          <w:bCs/>
          <w:i/>
          <w:iCs/>
          <w:color w:val="000000" w:themeColor="text1"/>
          <w:sz w:val="17"/>
          <w:szCs w:val="17"/>
          <w:lang w:val="en-IN"/>
        </w:rPr>
        <w:t>Journal of Experimental Botany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67</w:t>
      </w:r>
      <w:r w:rsidRPr="002F7029">
        <w:rPr>
          <w:rFonts w:ascii="Times New Roman" w:eastAsia="Times New Roman" w:hAnsi="Times New Roman" w:cs="Times New Roman"/>
          <w:bCs/>
          <w:color w:val="000000" w:themeColor="text1"/>
          <w:sz w:val="17"/>
          <w:szCs w:val="17"/>
          <w:lang w:val="en-IN"/>
        </w:rPr>
        <w:t xml:space="preserve">(9), 2875–2888. </w:t>
      </w:r>
      <w:hyperlink r:id="rId17">
        <w:r w:rsidRPr="002F7029">
          <w:rPr>
            <w:rStyle w:val="Hyperlink"/>
            <w:rFonts w:ascii="Times New Roman" w:eastAsia="Times New Roman" w:hAnsi="Times New Roman" w:cs="Times New Roman"/>
            <w:bCs/>
            <w:color w:val="000000" w:themeColor="text1"/>
            <w:sz w:val="17"/>
            <w:szCs w:val="17"/>
            <w:u w:val="none"/>
            <w:lang w:val="en-IN"/>
          </w:rPr>
          <w:t>https://doi.org/10.1093/jxb/erw130</w:t>
        </w:r>
      </w:hyperlink>
    </w:p>
    <w:p w14:paraId="3E59A957"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Allario</w:t>
      </w:r>
      <w:proofErr w:type="spellEnd"/>
      <w:r w:rsidRPr="002F7029">
        <w:rPr>
          <w:rFonts w:ascii="Times New Roman" w:eastAsia="Times New Roman" w:hAnsi="Times New Roman" w:cs="Times New Roman"/>
          <w:bCs/>
          <w:color w:val="000000" w:themeColor="text1"/>
          <w:sz w:val="17"/>
          <w:szCs w:val="17"/>
          <w:lang w:val="en-IN"/>
        </w:rPr>
        <w:t xml:space="preserve">, T., </w:t>
      </w:r>
      <w:proofErr w:type="spellStart"/>
      <w:r w:rsidRPr="002F7029">
        <w:rPr>
          <w:rFonts w:ascii="Times New Roman" w:eastAsia="Times New Roman" w:hAnsi="Times New Roman" w:cs="Times New Roman"/>
          <w:bCs/>
          <w:color w:val="000000" w:themeColor="text1"/>
          <w:sz w:val="17"/>
          <w:szCs w:val="17"/>
          <w:lang w:val="en-IN"/>
        </w:rPr>
        <w:t>Brumos</w:t>
      </w:r>
      <w:proofErr w:type="spellEnd"/>
      <w:r w:rsidRPr="002F7029">
        <w:rPr>
          <w:rFonts w:ascii="Times New Roman" w:eastAsia="Times New Roman" w:hAnsi="Times New Roman" w:cs="Times New Roman"/>
          <w:bCs/>
          <w:color w:val="000000" w:themeColor="text1"/>
          <w:sz w:val="17"/>
          <w:szCs w:val="17"/>
          <w:lang w:val="en-IN"/>
        </w:rPr>
        <w:t xml:space="preserve">, J., Colmenero-Flores, J. M., Iglesias, D. J., Pina, J. A., Navarro, L., Talon, M., Ollitrault, P., &amp; Morillon, R. (2013). Tetraploid Rangpur lime rootstock increases drought tolerance via enhanced constitutive root abscisic acid production. </w:t>
      </w:r>
      <w:r w:rsidRPr="002F7029">
        <w:rPr>
          <w:rFonts w:ascii="Times New Roman" w:eastAsia="Times New Roman" w:hAnsi="Times New Roman" w:cs="Times New Roman"/>
          <w:bCs/>
          <w:i/>
          <w:iCs/>
          <w:color w:val="000000" w:themeColor="text1"/>
          <w:sz w:val="17"/>
          <w:szCs w:val="17"/>
          <w:lang w:val="en-IN"/>
        </w:rPr>
        <w:t>Plant, Cell &amp; Environment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36</w:t>
      </w:r>
      <w:r w:rsidRPr="002F7029">
        <w:rPr>
          <w:rFonts w:ascii="Times New Roman" w:eastAsia="Times New Roman" w:hAnsi="Times New Roman" w:cs="Times New Roman"/>
          <w:bCs/>
          <w:color w:val="000000" w:themeColor="text1"/>
          <w:sz w:val="17"/>
          <w:szCs w:val="17"/>
          <w:lang w:val="en-IN"/>
        </w:rPr>
        <w:t xml:space="preserve">(4), 856–868. </w:t>
      </w:r>
      <w:hyperlink r:id="rId18">
        <w:r w:rsidRPr="002F7029">
          <w:rPr>
            <w:rStyle w:val="Hyperlink"/>
            <w:rFonts w:ascii="Times New Roman" w:eastAsia="Times New Roman" w:hAnsi="Times New Roman" w:cs="Times New Roman"/>
            <w:bCs/>
            <w:color w:val="000000" w:themeColor="text1"/>
            <w:sz w:val="17"/>
            <w:szCs w:val="17"/>
            <w:u w:val="none"/>
            <w:lang w:val="en-IN"/>
          </w:rPr>
          <w:t>https://doi.org/10.1111/pce.12021</w:t>
        </w:r>
      </w:hyperlink>
    </w:p>
    <w:p w14:paraId="10C23411"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Amogi</w:t>
      </w:r>
      <w:proofErr w:type="spellEnd"/>
      <w:r w:rsidRPr="002F7029">
        <w:rPr>
          <w:rFonts w:ascii="Times New Roman" w:eastAsia="Times New Roman" w:hAnsi="Times New Roman" w:cs="Times New Roman"/>
          <w:bCs/>
          <w:color w:val="000000" w:themeColor="text1"/>
          <w:sz w:val="17"/>
          <w:szCs w:val="17"/>
          <w:lang w:val="en-IN"/>
        </w:rPr>
        <w:t xml:space="preserve">, B. R., Ranjan, R., </w:t>
      </w:r>
      <w:proofErr w:type="spellStart"/>
      <w:r w:rsidRPr="002F7029">
        <w:rPr>
          <w:rFonts w:ascii="Times New Roman" w:eastAsia="Times New Roman" w:hAnsi="Times New Roman" w:cs="Times New Roman"/>
          <w:bCs/>
          <w:color w:val="000000" w:themeColor="text1"/>
          <w:sz w:val="17"/>
          <w:szCs w:val="17"/>
          <w:lang w:val="en-IN"/>
        </w:rPr>
        <w:t>Pukrongta</w:t>
      </w:r>
      <w:proofErr w:type="spellEnd"/>
      <w:r w:rsidRPr="002F7029">
        <w:rPr>
          <w:rFonts w:ascii="Times New Roman" w:eastAsia="Times New Roman" w:hAnsi="Times New Roman" w:cs="Times New Roman"/>
          <w:bCs/>
          <w:color w:val="000000" w:themeColor="text1"/>
          <w:sz w:val="17"/>
          <w:szCs w:val="17"/>
          <w:lang w:val="en-IN"/>
        </w:rPr>
        <w:t xml:space="preserve">, N., Khot, L. R., </w:t>
      </w:r>
      <w:proofErr w:type="spellStart"/>
      <w:r w:rsidRPr="002F7029">
        <w:rPr>
          <w:rFonts w:ascii="Times New Roman" w:eastAsia="Times New Roman" w:hAnsi="Times New Roman" w:cs="Times New Roman"/>
          <w:bCs/>
          <w:color w:val="000000" w:themeColor="text1"/>
          <w:sz w:val="17"/>
          <w:szCs w:val="17"/>
          <w:lang w:val="en-IN"/>
        </w:rPr>
        <w:t>Sallato</w:t>
      </w:r>
      <w:proofErr w:type="spellEnd"/>
      <w:r w:rsidRPr="002F7029">
        <w:rPr>
          <w:rFonts w:ascii="Times New Roman" w:eastAsia="Times New Roman" w:hAnsi="Times New Roman" w:cs="Times New Roman"/>
          <w:bCs/>
          <w:color w:val="000000" w:themeColor="text1"/>
          <w:sz w:val="17"/>
          <w:szCs w:val="17"/>
          <w:lang w:val="en-IN"/>
        </w:rPr>
        <w:t xml:space="preserve">, B. V., </w:t>
      </w:r>
      <w:proofErr w:type="spellStart"/>
      <w:r w:rsidRPr="002F7029">
        <w:rPr>
          <w:rFonts w:ascii="Times New Roman" w:eastAsia="Times New Roman" w:hAnsi="Times New Roman" w:cs="Times New Roman"/>
          <w:bCs/>
          <w:color w:val="000000" w:themeColor="text1"/>
          <w:sz w:val="17"/>
          <w:szCs w:val="17"/>
          <w:lang w:val="en-IN"/>
        </w:rPr>
        <w:t>Mogollón</w:t>
      </w:r>
      <w:proofErr w:type="spellEnd"/>
      <w:r w:rsidRPr="002F7029">
        <w:rPr>
          <w:rFonts w:ascii="Times New Roman" w:eastAsia="Times New Roman" w:hAnsi="Times New Roman" w:cs="Times New Roman"/>
          <w:bCs/>
          <w:color w:val="000000" w:themeColor="text1"/>
          <w:sz w:val="17"/>
          <w:szCs w:val="17"/>
          <w:lang w:val="en-IN"/>
        </w:rPr>
        <w:t xml:space="preserve">, M. R., &amp; Torres, C. A. (2025). Localized sensing data-driven efficacy evaluation of heat stress mitigation techniques in ‘Honeycrisp’ apple cultivar. </w:t>
      </w:r>
      <w:r w:rsidRPr="002F7029">
        <w:rPr>
          <w:rFonts w:ascii="Times New Roman" w:eastAsia="Times New Roman" w:hAnsi="Times New Roman" w:cs="Times New Roman"/>
          <w:bCs/>
          <w:i/>
          <w:color w:val="000000" w:themeColor="text1"/>
          <w:sz w:val="17"/>
          <w:szCs w:val="17"/>
          <w:lang w:val="en-IN"/>
        </w:rPr>
        <w:t xml:space="preserve">Scientia </w:t>
      </w:r>
      <w:proofErr w:type="spellStart"/>
      <w:r w:rsidRPr="002F7029">
        <w:rPr>
          <w:rFonts w:ascii="Times New Roman" w:eastAsia="Times New Roman" w:hAnsi="Times New Roman" w:cs="Times New Roman"/>
          <w:bCs/>
          <w:i/>
          <w:color w:val="000000" w:themeColor="text1"/>
          <w:sz w:val="17"/>
          <w:szCs w:val="17"/>
          <w:lang w:val="en-IN"/>
        </w:rPr>
        <w:t>Horticulturae</w:t>
      </w:r>
      <w:proofErr w:type="spellEnd"/>
      <w:r w:rsidRPr="002F7029">
        <w:rPr>
          <w:rFonts w:ascii="Times New Roman" w:eastAsia="Times New Roman" w:hAnsi="Times New Roman" w:cs="Times New Roman"/>
          <w:bCs/>
          <w:i/>
          <w:color w:val="000000" w:themeColor="text1"/>
          <w:sz w:val="17"/>
          <w:szCs w:val="17"/>
          <w:lang w:val="en-IN"/>
        </w:rPr>
        <w:t>, 341</w:t>
      </w:r>
      <w:r w:rsidRPr="002F7029">
        <w:rPr>
          <w:rFonts w:ascii="Times New Roman" w:eastAsia="Times New Roman" w:hAnsi="Times New Roman" w:cs="Times New Roman"/>
          <w:bCs/>
          <w:color w:val="000000" w:themeColor="text1"/>
          <w:sz w:val="17"/>
          <w:szCs w:val="17"/>
          <w:lang w:val="en-IN"/>
        </w:rPr>
        <w:t xml:space="preserve">, Article 113992. </w:t>
      </w:r>
      <w:hyperlink r:id="rId19">
        <w:r w:rsidRPr="002F7029">
          <w:rPr>
            <w:rStyle w:val="Hyperlink"/>
            <w:rFonts w:ascii="Times New Roman" w:eastAsia="Times New Roman" w:hAnsi="Times New Roman" w:cs="Times New Roman"/>
            <w:bCs/>
            <w:color w:val="000000" w:themeColor="text1"/>
            <w:sz w:val="17"/>
            <w:szCs w:val="17"/>
            <w:u w:val="none"/>
            <w:lang w:val="en-IN"/>
          </w:rPr>
          <w:t>https://doi.org/10.1016/j.scienta.2025.113992</w:t>
        </w:r>
      </w:hyperlink>
    </w:p>
    <w:p w14:paraId="05543244"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lastRenderedPageBreak/>
        <w:t xml:space="preserve">Anthony, B. M., &amp; Minas, I. S. (2021). Optimizing peach tree canopy architecture for efficient light use, increased productivity and improved fruit quality. </w:t>
      </w:r>
      <w:r w:rsidRPr="002F7029">
        <w:rPr>
          <w:rFonts w:ascii="Times New Roman" w:eastAsia="Times New Roman" w:hAnsi="Times New Roman" w:cs="Times New Roman"/>
          <w:bCs/>
          <w:i/>
          <w:iCs/>
          <w:color w:val="000000" w:themeColor="text1"/>
          <w:sz w:val="17"/>
          <w:szCs w:val="17"/>
          <w:lang w:val="en-IN"/>
        </w:rPr>
        <w:t>Agronomy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11</w:t>
      </w:r>
      <w:r w:rsidRPr="002F7029">
        <w:rPr>
          <w:rFonts w:ascii="Times New Roman" w:eastAsia="Times New Roman" w:hAnsi="Times New Roman" w:cs="Times New Roman"/>
          <w:bCs/>
          <w:color w:val="000000" w:themeColor="text1"/>
          <w:sz w:val="17"/>
          <w:szCs w:val="17"/>
          <w:lang w:val="en-IN"/>
        </w:rPr>
        <w:t xml:space="preserve">(10), Article 1961. </w:t>
      </w:r>
      <w:hyperlink r:id="rId20">
        <w:r w:rsidRPr="002F7029">
          <w:rPr>
            <w:rStyle w:val="Hyperlink"/>
            <w:rFonts w:ascii="Times New Roman" w:eastAsia="Times New Roman" w:hAnsi="Times New Roman" w:cs="Times New Roman"/>
            <w:bCs/>
            <w:color w:val="000000" w:themeColor="text1"/>
            <w:sz w:val="17"/>
            <w:szCs w:val="17"/>
            <w:u w:val="none"/>
            <w:lang w:val="en-IN"/>
          </w:rPr>
          <w:t>https://doi.org/10.3390/agronomy11101961</w:t>
        </w:r>
      </w:hyperlink>
    </w:p>
    <w:p w14:paraId="0A191620"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Atkinson, C. J., Brennan, R. M., &amp; Jones, H. G. (2013). Declining chilling and its impact on temperate perennial crops. </w:t>
      </w:r>
      <w:r w:rsidRPr="002F7029">
        <w:rPr>
          <w:rFonts w:ascii="Times New Roman" w:eastAsia="Times New Roman" w:hAnsi="Times New Roman" w:cs="Times New Roman"/>
          <w:bCs/>
          <w:i/>
          <w:iCs/>
          <w:color w:val="000000" w:themeColor="text1"/>
          <w:sz w:val="17"/>
          <w:szCs w:val="17"/>
          <w:lang w:val="en-IN"/>
        </w:rPr>
        <w:t>Environmental and Experimental Botany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91</w:t>
      </w:r>
      <w:r w:rsidRPr="002F7029">
        <w:rPr>
          <w:rFonts w:ascii="Times New Roman" w:eastAsia="Times New Roman" w:hAnsi="Times New Roman" w:cs="Times New Roman"/>
          <w:bCs/>
          <w:color w:val="000000" w:themeColor="text1"/>
          <w:sz w:val="17"/>
          <w:szCs w:val="17"/>
          <w:lang w:val="en-IN"/>
        </w:rPr>
        <w:t xml:space="preserve">, 48–62. </w:t>
      </w:r>
      <w:hyperlink r:id="rId21">
        <w:r w:rsidRPr="002F7029">
          <w:rPr>
            <w:rStyle w:val="Hyperlink"/>
            <w:rFonts w:ascii="Times New Roman" w:eastAsia="Times New Roman" w:hAnsi="Times New Roman" w:cs="Times New Roman"/>
            <w:bCs/>
            <w:color w:val="000000" w:themeColor="text1"/>
            <w:sz w:val="17"/>
            <w:szCs w:val="17"/>
            <w:u w:val="none"/>
            <w:lang w:val="en-IN"/>
          </w:rPr>
          <w:t>https://doi.org/10.1016/j.envexpbot.2013.02.004</w:t>
        </w:r>
      </w:hyperlink>
    </w:p>
    <w:p w14:paraId="7F727EAC"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Baethge</w:t>
      </w:r>
      <w:proofErr w:type="spellEnd"/>
      <w:r w:rsidRPr="002F7029">
        <w:rPr>
          <w:rFonts w:ascii="Times New Roman" w:eastAsia="Times New Roman" w:hAnsi="Times New Roman" w:cs="Times New Roman"/>
          <w:bCs/>
          <w:color w:val="000000" w:themeColor="text1"/>
          <w:sz w:val="17"/>
          <w:szCs w:val="17"/>
          <w:lang w:val="en-IN"/>
        </w:rPr>
        <w:t xml:space="preserve">, C., Goldbeck-Wood, S., &amp; Mertens, S. (2019). SANRA—a scale for the quality assessment of narrative review articles. </w:t>
      </w:r>
      <w:r w:rsidRPr="002F7029">
        <w:rPr>
          <w:rFonts w:ascii="Times New Roman" w:eastAsia="Times New Roman" w:hAnsi="Times New Roman" w:cs="Times New Roman"/>
          <w:bCs/>
          <w:i/>
          <w:iCs/>
          <w:color w:val="000000" w:themeColor="text1"/>
          <w:sz w:val="17"/>
          <w:szCs w:val="17"/>
          <w:lang w:val="en-IN"/>
        </w:rPr>
        <w:t>Research Integrity and Peer Review</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4</w:t>
      </w:r>
      <w:r w:rsidRPr="002F7029">
        <w:rPr>
          <w:rFonts w:ascii="Times New Roman" w:eastAsia="Times New Roman" w:hAnsi="Times New Roman" w:cs="Times New Roman"/>
          <w:bCs/>
          <w:color w:val="000000" w:themeColor="text1"/>
          <w:sz w:val="17"/>
          <w:szCs w:val="17"/>
          <w:lang w:val="en-IN"/>
        </w:rPr>
        <w:t xml:space="preserve">(1), Article 5. </w:t>
      </w:r>
      <w:hyperlink r:id="rId22">
        <w:r w:rsidRPr="002F7029">
          <w:rPr>
            <w:rStyle w:val="Hyperlink"/>
            <w:rFonts w:ascii="Times New Roman" w:eastAsia="Times New Roman" w:hAnsi="Times New Roman" w:cs="Times New Roman"/>
            <w:bCs/>
            <w:color w:val="000000" w:themeColor="text1"/>
            <w:sz w:val="17"/>
            <w:szCs w:val="17"/>
            <w:u w:val="none"/>
            <w:lang w:val="en-IN"/>
          </w:rPr>
          <w:t>https://doi.org/10.1186/s41073-019-0064-8</w:t>
        </w:r>
      </w:hyperlink>
    </w:p>
    <w:p w14:paraId="66727D66"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Balfagón</w:t>
      </w:r>
      <w:proofErr w:type="spellEnd"/>
      <w:r w:rsidRPr="002F7029">
        <w:rPr>
          <w:rFonts w:ascii="Times New Roman" w:eastAsia="Times New Roman" w:hAnsi="Times New Roman" w:cs="Times New Roman"/>
          <w:bCs/>
          <w:color w:val="000000" w:themeColor="text1"/>
          <w:sz w:val="17"/>
          <w:szCs w:val="17"/>
          <w:lang w:val="en-IN"/>
        </w:rPr>
        <w:t xml:space="preserve">, D., Terán, F., de Oliveira, T. R., Santa-Catarina, C., &amp; Gómez-Cadenas, A. (2022). Citrus rootstocks modify scion antioxidant system under drought and heat stress combination. </w:t>
      </w:r>
      <w:r w:rsidRPr="002F7029">
        <w:rPr>
          <w:rFonts w:ascii="Times New Roman" w:eastAsia="Times New Roman" w:hAnsi="Times New Roman" w:cs="Times New Roman"/>
          <w:bCs/>
          <w:i/>
          <w:iCs/>
          <w:color w:val="000000" w:themeColor="text1"/>
          <w:sz w:val="17"/>
          <w:szCs w:val="17"/>
          <w:lang w:val="en-IN"/>
        </w:rPr>
        <w:t>Plant Cell Reports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41</w:t>
      </w:r>
      <w:r w:rsidRPr="002F7029">
        <w:rPr>
          <w:rFonts w:ascii="Times New Roman" w:eastAsia="Times New Roman" w:hAnsi="Times New Roman" w:cs="Times New Roman"/>
          <w:bCs/>
          <w:color w:val="000000" w:themeColor="text1"/>
          <w:sz w:val="17"/>
          <w:szCs w:val="17"/>
          <w:lang w:val="en-IN"/>
        </w:rPr>
        <w:t xml:space="preserve">(3), 593–602. </w:t>
      </w:r>
      <w:hyperlink r:id="rId23">
        <w:r w:rsidRPr="002F7029">
          <w:rPr>
            <w:rStyle w:val="Hyperlink"/>
            <w:rFonts w:ascii="Times New Roman" w:eastAsia="Times New Roman" w:hAnsi="Times New Roman" w:cs="Times New Roman"/>
            <w:bCs/>
            <w:color w:val="000000" w:themeColor="text1"/>
            <w:sz w:val="17"/>
            <w:szCs w:val="17"/>
            <w:u w:val="none"/>
            <w:lang w:val="en-IN"/>
          </w:rPr>
          <w:t>https://doi.org/10.1007/s00299-021-02744-y</w:t>
        </w:r>
      </w:hyperlink>
    </w:p>
    <w:p w14:paraId="5141A811"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Bastías</w:t>
      </w:r>
      <w:proofErr w:type="spellEnd"/>
      <w:r w:rsidRPr="002F7029">
        <w:rPr>
          <w:rFonts w:ascii="Times New Roman" w:eastAsia="Times New Roman" w:hAnsi="Times New Roman" w:cs="Times New Roman"/>
          <w:bCs/>
          <w:color w:val="000000" w:themeColor="text1"/>
          <w:sz w:val="17"/>
          <w:szCs w:val="17"/>
          <w:lang w:val="en-IN"/>
        </w:rPr>
        <w:t xml:space="preserve">, R. M., &amp; Corelli-Grappadelli, L. (2012). Light quality management in fruit orchards: Physiological and technological aspects. </w:t>
      </w:r>
      <w:r w:rsidRPr="002F7029">
        <w:rPr>
          <w:rFonts w:ascii="Times New Roman" w:eastAsia="Times New Roman" w:hAnsi="Times New Roman" w:cs="Times New Roman"/>
          <w:bCs/>
          <w:i/>
          <w:iCs/>
          <w:color w:val="000000" w:themeColor="text1"/>
          <w:sz w:val="17"/>
          <w:szCs w:val="17"/>
          <w:lang w:val="en-IN"/>
        </w:rPr>
        <w:t>Chilean Journal of Agricultural Research</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72</w:t>
      </w:r>
      <w:r w:rsidRPr="002F7029">
        <w:rPr>
          <w:rFonts w:ascii="Times New Roman" w:eastAsia="Times New Roman" w:hAnsi="Times New Roman" w:cs="Times New Roman"/>
          <w:bCs/>
          <w:color w:val="000000" w:themeColor="text1"/>
          <w:sz w:val="17"/>
          <w:szCs w:val="17"/>
          <w:lang w:val="en-IN"/>
        </w:rPr>
        <w:t xml:space="preserve">(4), 574–581. </w:t>
      </w:r>
      <w:hyperlink r:id="rId24">
        <w:r w:rsidRPr="002F7029">
          <w:rPr>
            <w:rStyle w:val="Hyperlink"/>
            <w:rFonts w:ascii="Times New Roman" w:eastAsia="Times New Roman" w:hAnsi="Times New Roman" w:cs="Times New Roman"/>
            <w:bCs/>
            <w:color w:val="000000" w:themeColor="text1"/>
            <w:sz w:val="17"/>
            <w:szCs w:val="17"/>
            <w:u w:val="none"/>
            <w:lang w:val="en-IN"/>
          </w:rPr>
          <w:t>https://doi.org/10.4067/s0718-58392012000400018</w:t>
        </w:r>
      </w:hyperlink>
    </w:p>
    <w:p w14:paraId="5ED9713C"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Beauvieux</w:t>
      </w:r>
      <w:proofErr w:type="spellEnd"/>
      <w:r w:rsidRPr="002F7029">
        <w:rPr>
          <w:rFonts w:ascii="Times New Roman" w:eastAsia="Times New Roman" w:hAnsi="Times New Roman" w:cs="Times New Roman"/>
          <w:bCs/>
          <w:color w:val="000000" w:themeColor="text1"/>
          <w:sz w:val="17"/>
          <w:szCs w:val="17"/>
          <w:lang w:val="en-IN"/>
        </w:rPr>
        <w:t xml:space="preserve">, R., Wenden, B., &amp; </w:t>
      </w:r>
      <w:proofErr w:type="spellStart"/>
      <w:r w:rsidRPr="002F7029">
        <w:rPr>
          <w:rFonts w:ascii="Times New Roman" w:eastAsia="Times New Roman" w:hAnsi="Times New Roman" w:cs="Times New Roman"/>
          <w:bCs/>
          <w:color w:val="000000" w:themeColor="text1"/>
          <w:sz w:val="17"/>
          <w:szCs w:val="17"/>
          <w:lang w:val="en-IN"/>
        </w:rPr>
        <w:t>Dirlewanger</w:t>
      </w:r>
      <w:proofErr w:type="spellEnd"/>
      <w:r w:rsidRPr="002F7029">
        <w:rPr>
          <w:rFonts w:ascii="Times New Roman" w:eastAsia="Times New Roman" w:hAnsi="Times New Roman" w:cs="Times New Roman"/>
          <w:bCs/>
          <w:color w:val="000000" w:themeColor="text1"/>
          <w:sz w:val="17"/>
          <w:szCs w:val="17"/>
          <w:lang w:val="en-IN"/>
        </w:rPr>
        <w:t xml:space="preserve">, E. (2018). Bud dormancy in perennial fruit tree species: A pivotal role for oxidative cues. </w:t>
      </w:r>
      <w:r w:rsidRPr="002F7029">
        <w:rPr>
          <w:rFonts w:ascii="Times New Roman" w:eastAsia="Times New Roman" w:hAnsi="Times New Roman" w:cs="Times New Roman"/>
          <w:bCs/>
          <w:i/>
          <w:iCs/>
          <w:color w:val="000000" w:themeColor="text1"/>
          <w:sz w:val="17"/>
          <w:szCs w:val="17"/>
          <w:lang w:val="en-IN"/>
        </w:rPr>
        <w:t>Frontiers in Plant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9</w:t>
      </w:r>
      <w:r w:rsidRPr="002F7029">
        <w:rPr>
          <w:rFonts w:ascii="Times New Roman" w:eastAsia="Times New Roman" w:hAnsi="Times New Roman" w:cs="Times New Roman"/>
          <w:bCs/>
          <w:color w:val="000000" w:themeColor="text1"/>
          <w:sz w:val="17"/>
          <w:szCs w:val="17"/>
          <w:lang w:val="en-IN"/>
        </w:rPr>
        <w:t xml:space="preserve">, Article 657. </w:t>
      </w:r>
      <w:hyperlink r:id="rId25">
        <w:r w:rsidRPr="002F7029">
          <w:rPr>
            <w:rStyle w:val="Hyperlink"/>
            <w:rFonts w:ascii="Times New Roman" w:eastAsia="Times New Roman" w:hAnsi="Times New Roman" w:cs="Times New Roman"/>
            <w:bCs/>
            <w:color w:val="000000" w:themeColor="text1"/>
            <w:sz w:val="17"/>
            <w:szCs w:val="17"/>
            <w:u w:val="none"/>
            <w:lang w:val="en-IN"/>
          </w:rPr>
          <w:t>https://doi.org/10.3389/fpls.2018.00657</w:t>
        </w:r>
      </w:hyperlink>
    </w:p>
    <w:p w14:paraId="56D9FB90"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Bielenberg, D. G., Wang, Y., Li, Z., </w:t>
      </w:r>
      <w:proofErr w:type="spellStart"/>
      <w:r w:rsidRPr="002F7029">
        <w:rPr>
          <w:rFonts w:ascii="Times New Roman" w:eastAsia="Times New Roman" w:hAnsi="Times New Roman" w:cs="Times New Roman"/>
          <w:bCs/>
          <w:color w:val="000000" w:themeColor="text1"/>
          <w:sz w:val="17"/>
          <w:szCs w:val="17"/>
          <w:lang w:val="en-IN"/>
        </w:rPr>
        <w:t>Zhebentyayeva</w:t>
      </w:r>
      <w:proofErr w:type="spellEnd"/>
      <w:r w:rsidRPr="002F7029">
        <w:rPr>
          <w:rFonts w:ascii="Times New Roman" w:eastAsia="Times New Roman" w:hAnsi="Times New Roman" w:cs="Times New Roman"/>
          <w:bCs/>
          <w:color w:val="000000" w:themeColor="text1"/>
          <w:sz w:val="17"/>
          <w:szCs w:val="17"/>
          <w:lang w:val="en-IN"/>
        </w:rPr>
        <w:t xml:space="preserve">, T., Fan, S., Reighard, G. L., Scorza, R., &amp; Abbott, A. G. (2008). Sequencing and annotation of the </w:t>
      </w:r>
      <w:proofErr w:type="spellStart"/>
      <w:r w:rsidRPr="002F7029">
        <w:rPr>
          <w:rFonts w:ascii="Times New Roman" w:eastAsia="Times New Roman" w:hAnsi="Times New Roman" w:cs="Times New Roman"/>
          <w:bCs/>
          <w:color w:val="000000" w:themeColor="text1"/>
          <w:sz w:val="17"/>
          <w:szCs w:val="17"/>
          <w:lang w:val="en-IN"/>
        </w:rPr>
        <w:t>evergrowing</w:t>
      </w:r>
      <w:proofErr w:type="spellEnd"/>
      <w:r w:rsidRPr="002F7029">
        <w:rPr>
          <w:rFonts w:ascii="Times New Roman" w:eastAsia="Times New Roman" w:hAnsi="Times New Roman" w:cs="Times New Roman"/>
          <w:bCs/>
          <w:color w:val="000000" w:themeColor="text1"/>
          <w:sz w:val="17"/>
          <w:szCs w:val="17"/>
          <w:lang w:val="en-IN"/>
        </w:rPr>
        <w:t xml:space="preserve"> locus in peach [</w:t>
      </w:r>
      <w:r w:rsidRPr="002F7029">
        <w:rPr>
          <w:rFonts w:ascii="Times New Roman" w:eastAsia="Times New Roman" w:hAnsi="Times New Roman" w:cs="Times New Roman"/>
          <w:bCs/>
          <w:i/>
          <w:iCs/>
          <w:color w:val="000000" w:themeColor="text1"/>
          <w:sz w:val="17"/>
          <w:szCs w:val="17"/>
          <w:lang w:val="en-IN"/>
        </w:rPr>
        <w:t>Prunus persica</w:t>
      </w:r>
      <w:r w:rsidRPr="002F7029">
        <w:rPr>
          <w:rFonts w:ascii="Times New Roman" w:eastAsia="Times New Roman" w:hAnsi="Times New Roman" w:cs="Times New Roman"/>
          <w:bCs/>
          <w:color w:val="000000" w:themeColor="text1"/>
          <w:sz w:val="17"/>
          <w:szCs w:val="17"/>
          <w:lang w:val="en-IN"/>
        </w:rPr>
        <w:t xml:space="preserve"> (L.) Batsch] reveals a cluster of six MADS-box transcription factors as candidate genes for regulation of terminal bud formation. </w:t>
      </w:r>
      <w:r w:rsidRPr="002F7029">
        <w:rPr>
          <w:rFonts w:ascii="Times New Roman" w:eastAsia="Times New Roman" w:hAnsi="Times New Roman" w:cs="Times New Roman"/>
          <w:bCs/>
          <w:i/>
          <w:iCs/>
          <w:color w:val="000000" w:themeColor="text1"/>
          <w:sz w:val="17"/>
          <w:szCs w:val="17"/>
          <w:lang w:val="en-IN"/>
        </w:rPr>
        <w:t>Tree Genetics &amp; Genomes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4</w:t>
      </w:r>
      <w:r w:rsidRPr="002F7029">
        <w:rPr>
          <w:rFonts w:ascii="Times New Roman" w:eastAsia="Times New Roman" w:hAnsi="Times New Roman" w:cs="Times New Roman"/>
          <w:bCs/>
          <w:color w:val="000000" w:themeColor="text1"/>
          <w:sz w:val="17"/>
          <w:szCs w:val="17"/>
          <w:lang w:val="en-IN"/>
        </w:rPr>
        <w:t xml:space="preserve">(3), 495–507. </w:t>
      </w:r>
      <w:hyperlink r:id="rId26">
        <w:r w:rsidRPr="002F7029">
          <w:rPr>
            <w:rStyle w:val="Hyperlink"/>
            <w:rFonts w:ascii="Times New Roman" w:eastAsia="Times New Roman" w:hAnsi="Times New Roman" w:cs="Times New Roman"/>
            <w:bCs/>
            <w:color w:val="000000" w:themeColor="text1"/>
            <w:sz w:val="17"/>
            <w:szCs w:val="17"/>
            <w:u w:val="none"/>
            <w:lang w:val="en-IN"/>
          </w:rPr>
          <w:t>https://doi.org/10.1007/s11295-007-0126-9</w:t>
        </w:r>
      </w:hyperlink>
    </w:p>
    <w:p w14:paraId="0394AB51"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Blanco, V., &amp; </w:t>
      </w:r>
      <w:proofErr w:type="spellStart"/>
      <w:r w:rsidRPr="002F7029">
        <w:rPr>
          <w:rFonts w:ascii="Times New Roman" w:eastAsia="Times New Roman" w:hAnsi="Times New Roman" w:cs="Times New Roman"/>
          <w:bCs/>
          <w:color w:val="000000" w:themeColor="text1"/>
          <w:sz w:val="17"/>
          <w:szCs w:val="17"/>
          <w:lang w:val="en-IN"/>
        </w:rPr>
        <w:t>Kalcsits</w:t>
      </w:r>
      <w:proofErr w:type="spellEnd"/>
      <w:r w:rsidRPr="002F7029">
        <w:rPr>
          <w:rFonts w:ascii="Times New Roman" w:eastAsia="Times New Roman" w:hAnsi="Times New Roman" w:cs="Times New Roman"/>
          <w:bCs/>
          <w:color w:val="000000" w:themeColor="text1"/>
          <w:sz w:val="17"/>
          <w:szCs w:val="17"/>
          <w:lang w:val="en-IN"/>
        </w:rPr>
        <w:t xml:space="preserve">, L. (2024). Relating </w:t>
      </w:r>
      <w:proofErr w:type="spellStart"/>
      <w:r w:rsidRPr="002F7029">
        <w:rPr>
          <w:rFonts w:ascii="Times New Roman" w:eastAsia="Times New Roman" w:hAnsi="Times New Roman" w:cs="Times New Roman"/>
          <w:bCs/>
          <w:color w:val="000000" w:themeColor="text1"/>
          <w:sz w:val="17"/>
          <w:szCs w:val="17"/>
          <w:lang w:val="en-IN"/>
        </w:rPr>
        <w:t>microtensiometer</w:t>
      </w:r>
      <w:proofErr w:type="spellEnd"/>
      <w:r w:rsidRPr="002F7029">
        <w:rPr>
          <w:rFonts w:ascii="Times New Roman" w:eastAsia="Times New Roman" w:hAnsi="Times New Roman" w:cs="Times New Roman"/>
          <w:bCs/>
          <w:color w:val="000000" w:themeColor="text1"/>
          <w:sz w:val="17"/>
          <w:szCs w:val="17"/>
          <w:lang w:val="en-IN"/>
        </w:rPr>
        <w:t xml:space="preserve">-based trunk water potential with sap flow, canopy temperature, and trunk and fruit diameter variations for irrigated ‘Honeycrisp’ apple. </w:t>
      </w:r>
      <w:r w:rsidRPr="002F7029">
        <w:rPr>
          <w:rFonts w:ascii="Times New Roman" w:eastAsia="Times New Roman" w:hAnsi="Times New Roman" w:cs="Times New Roman"/>
          <w:bCs/>
          <w:i/>
          <w:iCs/>
          <w:color w:val="000000" w:themeColor="text1"/>
          <w:sz w:val="17"/>
          <w:szCs w:val="17"/>
          <w:lang w:val="en-IN"/>
        </w:rPr>
        <w:t>Frontiers in Plant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15</w:t>
      </w:r>
      <w:r w:rsidRPr="002F7029">
        <w:rPr>
          <w:rFonts w:ascii="Times New Roman" w:eastAsia="Times New Roman" w:hAnsi="Times New Roman" w:cs="Times New Roman"/>
          <w:bCs/>
          <w:color w:val="000000" w:themeColor="text1"/>
          <w:sz w:val="17"/>
          <w:szCs w:val="17"/>
          <w:lang w:val="en-IN"/>
        </w:rPr>
        <w:t xml:space="preserve">, Article 1393028. </w:t>
      </w:r>
      <w:hyperlink r:id="rId27">
        <w:r w:rsidRPr="002F7029">
          <w:rPr>
            <w:rStyle w:val="Hyperlink"/>
            <w:rFonts w:ascii="Times New Roman" w:eastAsia="Times New Roman" w:hAnsi="Times New Roman" w:cs="Times New Roman"/>
            <w:bCs/>
            <w:color w:val="000000" w:themeColor="text1"/>
            <w:sz w:val="17"/>
            <w:szCs w:val="17"/>
            <w:u w:val="none"/>
            <w:lang w:val="en-IN"/>
          </w:rPr>
          <w:t>https://doi.org/10.3389/fpls.2024.1393028</w:t>
        </w:r>
      </w:hyperlink>
    </w:p>
    <w:p w14:paraId="797CFA65"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nl-BE"/>
        </w:rPr>
      </w:pPr>
      <w:r w:rsidRPr="002F7029">
        <w:rPr>
          <w:rFonts w:ascii="Times New Roman" w:eastAsia="Times New Roman" w:hAnsi="Times New Roman" w:cs="Times New Roman"/>
          <w:bCs/>
          <w:color w:val="000000" w:themeColor="text1"/>
          <w:sz w:val="17"/>
          <w:szCs w:val="17"/>
          <w:lang w:val="en-IN"/>
        </w:rPr>
        <w:t xml:space="preserve">Blanco, V., Torres-Sánchez, R., </w:t>
      </w:r>
      <w:proofErr w:type="spellStart"/>
      <w:r w:rsidRPr="002F7029">
        <w:rPr>
          <w:rFonts w:ascii="Times New Roman" w:eastAsia="Times New Roman" w:hAnsi="Times New Roman" w:cs="Times New Roman"/>
          <w:bCs/>
          <w:color w:val="000000" w:themeColor="text1"/>
          <w:sz w:val="17"/>
          <w:szCs w:val="17"/>
          <w:lang w:val="en-IN"/>
        </w:rPr>
        <w:t>Blaya</w:t>
      </w:r>
      <w:proofErr w:type="spellEnd"/>
      <w:r w:rsidRPr="002F7029">
        <w:rPr>
          <w:rFonts w:ascii="Times New Roman" w:eastAsia="Times New Roman" w:hAnsi="Times New Roman" w:cs="Times New Roman"/>
          <w:bCs/>
          <w:color w:val="000000" w:themeColor="text1"/>
          <w:sz w:val="17"/>
          <w:szCs w:val="17"/>
          <w:lang w:val="en-IN"/>
        </w:rPr>
        <w:t xml:space="preserve">-Ros, P. J., Pérez-Pastor, A., &amp; Domingo, R. (2019). Vegetative and reproductive response of ‘Prime Giant’ sweet cherry trees to regulated deficit irrigation. </w:t>
      </w:r>
      <w:r w:rsidRPr="002F7029">
        <w:rPr>
          <w:rFonts w:ascii="Times New Roman" w:eastAsia="Times New Roman" w:hAnsi="Times New Roman" w:cs="Times New Roman"/>
          <w:bCs/>
          <w:i/>
          <w:iCs/>
          <w:color w:val="000000" w:themeColor="text1"/>
          <w:sz w:val="17"/>
          <w:szCs w:val="17"/>
          <w:lang w:val="nl-BE"/>
        </w:rPr>
        <w:t>Scientia Horticulturae</w:t>
      </w:r>
      <w:r w:rsidRPr="002F7029">
        <w:rPr>
          <w:rFonts w:ascii="Times New Roman" w:eastAsia="Times New Roman" w:hAnsi="Times New Roman" w:cs="Times New Roman"/>
          <w:bCs/>
          <w:color w:val="000000" w:themeColor="text1"/>
          <w:sz w:val="17"/>
          <w:szCs w:val="17"/>
          <w:lang w:val="nl-BE"/>
        </w:rPr>
        <w:t xml:space="preserve">, </w:t>
      </w:r>
      <w:r w:rsidRPr="002F7029">
        <w:rPr>
          <w:rFonts w:ascii="Times New Roman" w:eastAsia="Times New Roman" w:hAnsi="Times New Roman" w:cs="Times New Roman"/>
          <w:bCs/>
          <w:i/>
          <w:iCs/>
          <w:color w:val="000000" w:themeColor="text1"/>
          <w:sz w:val="17"/>
          <w:szCs w:val="17"/>
          <w:lang w:val="nl-BE"/>
        </w:rPr>
        <w:t>249</w:t>
      </w:r>
      <w:r w:rsidRPr="002F7029">
        <w:rPr>
          <w:rFonts w:ascii="Times New Roman" w:eastAsia="Times New Roman" w:hAnsi="Times New Roman" w:cs="Times New Roman"/>
          <w:bCs/>
          <w:color w:val="000000" w:themeColor="text1"/>
          <w:sz w:val="17"/>
          <w:szCs w:val="17"/>
          <w:lang w:val="nl-BE"/>
        </w:rPr>
        <w:t xml:space="preserve">, 478–489. </w:t>
      </w:r>
      <w:hyperlink r:id="rId28">
        <w:r w:rsidRPr="002F7029">
          <w:rPr>
            <w:rStyle w:val="Hyperlink"/>
            <w:rFonts w:ascii="Times New Roman" w:eastAsia="Times New Roman" w:hAnsi="Times New Roman" w:cs="Times New Roman"/>
            <w:bCs/>
            <w:color w:val="000000" w:themeColor="text1"/>
            <w:sz w:val="17"/>
            <w:szCs w:val="17"/>
            <w:u w:val="none"/>
            <w:lang w:val="nl-BE"/>
          </w:rPr>
          <w:t>https://doi.org/10.1016/j.scienta.2019.02.016</w:t>
        </w:r>
      </w:hyperlink>
    </w:p>
    <w:p w14:paraId="4A9EE8D4"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nl-BE"/>
        </w:rPr>
        <w:t xml:space="preserve">Boekee, J., Dai, Y., Schilperoort, B., van de Wiel, B. J. H., &amp; ten Veldhuis, M.-C. (2023). </w:t>
      </w:r>
      <w:r w:rsidRPr="002F7029">
        <w:rPr>
          <w:rFonts w:ascii="Times New Roman" w:eastAsia="Times New Roman" w:hAnsi="Times New Roman" w:cs="Times New Roman"/>
          <w:bCs/>
          <w:color w:val="000000" w:themeColor="text1"/>
          <w:sz w:val="17"/>
          <w:szCs w:val="17"/>
          <w:lang w:val="en-IN"/>
        </w:rPr>
        <w:t xml:space="preserve">Plant–atmosphere heat exchange during wind machine operation for frost protection. </w:t>
      </w:r>
      <w:r w:rsidRPr="002F7029">
        <w:rPr>
          <w:rFonts w:ascii="Times New Roman" w:eastAsia="Times New Roman" w:hAnsi="Times New Roman" w:cs="Times New Roman"/>
          <w:bCs/>
          <w:i/>
          <w:iCs/>
          <w:color w:val="000000" w:themeColor="text1"/>
          <w:sz w:val="17"/>
          <w:szCs w:val="17"/>
          <w:lang w:val="en-IN"/>
        </w:rPr>
        <w:t>Agricultural and Forest Meteorology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330</w:t>
      </w:r>
      <w:r w:rsidRPr="002F7029">
        <w:rPr>
          <w:rFonts w:ascii="Times New Roman" w:eastAsia="Times New Roman" w:hAnsi="Times New Roman" w:cs="Times New Roman"/>
          <w:bCs/>
          <w:color w:val="000000" w:themeColor="text1"/>
          <w:sz w:val="17"/>
          <w:szCs w:val="17"/>
          <w:lang w:val="en-IN"/>
        </w:rPr>
        <w:t xml:space="preserve">, Article 109312. </w:t>
      </w:r>
      <w:hyperlink r:id="rId29">
        <w:r w:rsidRPr="002F7029">
          <w:rPr>
            <w:rStyle w:val="Hyperlink"/>
            <w:rFonts w:ascii="Times New Roman" w:eastAsia="Times New Roman" w:hAnsi="Times New Roman" w:cs="Times New Roman"/>
            <w:bCs/>
            <w:color w:val="000000" w:themeColor="text1"/>
            <w:sz w:val="17"/>
            <w:szCs w:val="17"/>
            <w:u w:val="none"/>
            <w:lang w:val="en-IN"/>
          </w:rPr>
          <w:t>https://doi.org/10.1016/j.agrformet.2023.109312</w:t>
        </w:r>
      </w:hyperlink>
    </w:p>
    <w:p w14:paraId="4D56FBD6"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Bosco, L. C., Bergamaschi, H., Cardoso, L. S., de Paula, V. A., </w:t>
      </w:r>
      <w:proofErr w:type="spellStart"/>
      <w:r w:rsidRPr="002F7029">
        <w:rPr>
          <w:rFonts w:ascii="Times New Roman" w:eastAsia="Times New Roman" w:hAnsi="Times New Roman" w:cs="Times New Roman"/>
          <w:bCs/>
          <w:color w:val="000000" w:themeColor="text1"/>
          <w:sz w:val="17"/>
          <w:szCs w:val="17"/>
          <w:lang w:val="en-IN"/>
        </w:rPr>
        <w:t>Marodin</w:t>
      </w:r>
      <w:proofErr w:type="spellEnd"/>
      <w:r w:rsidRPr="002F7029">
        <w:rPr>
          <w:rFonts w:ascii="Times New Roman" w:eastAsia="Times New Roman" w:hAnsi="Times New Roman" w:cs="Times New Roman"/>
          <w:bCs/>
          <w:color w:val="000000" w:themeColor="text1"/>
          <w:sz w:val="17"/>
          <w:szCs w:val="17"/>
          <w:lang w:val="en-IN"/>
        </w:rPr>
        <w:t xml:space="preserve">, G. A. B., &amp; Nachtigall, G. R. (2015). Apple production and quality when cultivated under anti-hail cover in Southern Brazil. </w:t>
      </w:r>
      <w:r w:rsidRPr="002F7029">
        <w:rPr>
          <w:rFonts w:ascii="Times New Roman" w:eastAsia="Times New Roman" w:hAnsi="Times New Roman" w:cs="Times New Roman"/>
          <w:bCs/>
          <w:i/>
          <w:iCs/>
          <w:color w:val="000000" w:themeColor="text1"/>
          <w:sz w:val="17"/>
          <w:szCs w:val="17"/>
          <w:lang w:val="en-IN"/>
        </w:rPr>
        <w:t>International Journal of Biometeorology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59</w:t>
      </w:r>
      <w:r w:rsidRPr="002F7029">
        <w:rPr>
          <w:rFonts w:ascii="Times New Roman" w:eastAsia="Times New Roman" w:hAnsi="Times New Roman" w:cs="Times New Roman"/>
          <w:bCs/>
          <w:color w:val="000000" w:themeColor="text1"/>
          <w:sz w:val="17"/>
          <w:szCs w:val="17"/>
          <w:lang w:val="en-IN"/>
        </w:rPr>
        <w:t xml:space="preserve">(7), 773–782. </w:t>
      </w:r>
      <w:hyperlink r:id="rId30">
        <w:r w:rsidRPr="002F7029">
          <w:rPr>
            <w:rStyle w:val="Hyperlink"/>
            <w:rFonts w:ascii="Times New Roman" w:eastAsia="Times New Roman" w:hAnsi="Times New Roman" w:cs="Times New Roman"/>
            <w:bCs/>
            <w:color w:val="000000" w:themeColor="text1"/>
            <w:sz w:val="17"/>
            <w:szCs w:val="17"/>
            <w:u w:val="none"/>
            <w:lang w:val="en-IN"/>
          </w:rPr>
          <w:t>https://doi.org/10.1007/s00484-014-0893-6</w:t>
        </w:r>
      </w:hyperlink>
    </w:p>
    <w:p w14:paraId="1D080D06"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Brito, C., Rodrigues, M. Â., Pinto, L., Gonçalves, A., Silva, E., Martins, S., Rocha, L., Pavia, I., Arrobas, M., Ribeiro, A. C., Moutinho-Pereira, J., &amp; Correia, C. M. (2021). Grey and black anti-hail nets ameliorated apple (</w:t>
      </w:r>
      <w:r w:rsidRPr="002F7029">
        <w:rPr>
          <w:rFonts w:ascii="Times New Roman" w:eastAsia="Times New Roman" w:hAnsi="Times New Roman" w:cs="Times New Roman"/>
          <w:bCs/>
          <w:i/>
          <w:iCs/>
          <w:color w:val="000000" w:themeColor="text1"/>
          <w:sz w:val="17"/>
          <w:szCs w:val="17"/>
          <w:lang w:val="en-IN"/>
        </w:rPr>
        <w:t>Malus</w:t>
      </w:r>
      <w:r w:rsidRPr="002F7029">
        <w:rPr>
          <w:rFonts w:ascii="Times New Roman" w:eastAsia="Times New Roman" w:hAnsi="Times New Roman" w:cs="Times New Roman"/>
          <w:bCs/>
          <w:color w:val="000000" w:themeColor="text1"/>
          <w:sz w:val="17"/>
          <w:szCs w:val="17"/>
          <w:lang w:val="en-IN"/>
        </w:rPr>
        <w:t xml:space="preserve"> × </w:t>
      </w:r>
      <w:r w:rsidRPr="002F7029">
        <w:rPr>
          <w:rFonts w:ascii="Times New Roman" w:eastAsia="Times New Roman" w:hAnsi="Times New Roman" w:cs="Times New Roman"/>
          <w:bCs/>
          <w:i/>
          <w:iCs/>
          <w:color w:val="000000" w:themeColor="text1"/>
          <w:sz w:val="17"/>
          <w:szCs w:val="17"/>
          <w:lang w:val="en-IN"/>
        </w:rPr>
        <w:t>domestica</w:t>
      </w:r>
      <w:r w:rsidRPr="002F7029">
        <w:rPr>
          <w:rFonts w:ascii="Times New Roman" w:eastAsia="Times New Roman" w:hAnsi="Times New Roman" w:cs="Times New Roman"/>
          <w:bCs/>
          <w:color w:val="000000" w:themeColor="text1"/>
          <w:sz w:val="17"/>
          <w:szCs w:val="17"/>
          <w:lang w:val="en-IN"/>
        </w:rPr>
        <w:t xml:space="preserve"> Borkh. cv. Golden Delicious) physiology under Mediterranean climate. </w:t>
      </w:r>
      <w:r w:rsidRPr="002F7029">
        <w:rPr>
          <w:rFonts w:ascii="Times New Roman" w:eastAsia="Times New Roman" w:hAnsi="Times New Roman" w:cs="Times New Roman"/>
          <w:bCs/>
          <w:i/>
          <w:iCs/>
          <w:color w:val="000000" w:themeColor="text1"/>
          <w:sz w:val="17"/>
          <w:szCs w:val="17"/>
          <w:lang w:val="en-IN"/>
        </w:rPr>
        <w:t>Plants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10</w:t>
      </w:r>
      <w:r w:rsidRPr="002F7029">
        <w:rPr>
          <w:rFonts w:ascii="Times New Roman" w:eastAsia="Times New Roman" w:hAnsi="Times New Roman" w:cs="Times New Roman"/>
          <w:bCs/>
          <w:color w:val="000000" w:themeColor="text1"/>
          <w:sz w:val="17"/>
          <w:szCs w:val="17"/>
          <w:lang w:val="en-IN"/>
        </w:rPr>
        <w:t xml:space="preserve">(12), Article 2578. </w:t>
      </w:r>
      <w:hyperlink r:id="rId31">
        <w:r w:rsidRPr="002F7029">
          <w:rPr>
            <w:rStyle w:val="Hyperlink"/>
            <w:rFonts w:ascii="Times New Roman" w:eastAsia="Times New Roman" w:hAnsi="Times New Roman" w:cs="Times New Roman"/>
            <w:bCs/>
            <w:color w:val="000000" w:themeColor="text1"/>
            <w:sz w:val="17"/>
            <w:szCs w:val="17"/>
            <w:u w:val="none"/>
            <w:lang w:val="en-IN"/>
          </w:rPr>
          <w:t>https://doi.org/10.3390/plants10122578</w:t>
        </w:r>
      </w:hyperlink>
    </w:p>
    <w:p w14:paraId="58E84F35"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02278B">
        <w:rPr>
          <w:rFonts w:ascii="Times New Roman" w:eastAsia="Times New Roman" w:hAnsi="Times New Roman" w:cs="Times New Roman"/>
          <w:bCs/>
          <w:color w:val="000000" w:themeColor="text1"/>
          <w:sz w:val="17"/>
          <w:szCs w:val="17"/>
          <w:lang w:val="en-IN"/>
        </w:rPr>
        <w:t xml:space="preserve">Bustan, A., Dag, A., Yermiyahu, U., Erel, R., Presnov, E., Agam, N., Kool, D., Iwema, J., Zipori, I., &amp; Ben-Gal, A. (2016). </w:t>
      </w:r>
      <w:r w:rsidRPr="002F7029">
        <w:rPr>
          <w:rFonts w:ascii="Times New Roman" w:eastAsia="Times New Roman" w:hAnsi="Times New Roman" w:cs="Times New Roman"/>
          <w:bCs/>
          <w:color w:val="000000" w:themeColor="text1"/>
          <w:sz w:val="17"/>
          <w:szCs w:val="17"/>
          <w:lang w:val="en-IN"/>
        </w:rPr>
        <w:t xml:space="preserve">Fruit load governs transpiration of olive trees. </w:t>
      </w:r>
      <w:r w:rsidRPr="002F7029">
        <w:rPr>
          <w:rFonts w:ascii="Times New Roman" w:eastAsia="Times New Roman" w:hAnsi="Times New Roman" w:cs="Times New Roman"/>
          <w:bCs/>
          <w:i/>
          <w:iCs/>
          <w:color w:val="000000" w:themeColor="text1"/>
          <w:sz w:val="17"/>
          <w:szCs w:val="17"/>
          <w:lang w:val="en-IN"/>
        </w:rPr>
        <w:t>Tree Physiology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36</w:t>
      </w:r>
      <w:r w:rsidRPr="002F7029">
        <w:rPr>
          <w:rFonts w:ascii="Times New Roman" w:eastAsia="Times New Roman" w:hAnsi="Times New Roman" w:cs="Times New Roman"/>
          <w:bCs/>
          <w:color w:val="000000" w:themeColor="text1"/>
          <w:sz w:val="17"/>
          <w:szCs w:val="17"/>
          <w:lang w:val="en-IN"/>
        </w:rPr>
        <w:t xml:space="preserve">(3), 380–391. </w:t>
      </w:r>
      <w:hyperlink r:id="rId32">
        <w:r w:rsidRPr="002F7029">
          <w:rPr>
            <w:rStyle w:val="Hyperlink"/>
            <w:rFonts w:ascii="Times New Roman" w:eastAsia="Times New Roman" w:hAnsi="Times New Roman" w:cs="Times New Roman"/>
            <w:bCs/>
            <w:color w:val="000000" w:themeColor="text1"/>
            <w:sz w:val="17"/>
            <w:szCs w:val="17"/>
            <w:u w:val="none"/>
            <w:lang w:val="en-IN"/>
          </w:rPr>
          <w:t>https://doi.org/10.1093/treephys/tpv138</w:t>
        </w:r>
      </w:hyperlink>
    </w:p>
    <w:p w14:paraId="63338EA6"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Campi, P., Gaeta, L., Mastrorilli, M., &amp; </w:t>
      </w:r>
      <w:proofErr w:type="spellStart"/>
      <w:r w:rsidRPr="002F7029">
        <w:rPr>
          <w:rFonts w:ascii="Times New Roman" w:eastAsia="Times New Roman" w:hAnsi="Times New Roman" w:cs="Times New Roman"/>
          <w:bCs/>
          <w:color w:val="000000" w:themeColor="text1"/>
          <w:sz w:val="17"/>
          <w:szCs w:val="17"/>
          <w:lang w:val="en-IN"/>
        </w:rPr>
        <w:t>Losciale</w:t>
      </w:r>
      <w:proofErr w:type="spellEnd"/>
      <w:r w:rsidRPr="002F7029">
        <w:rPr>
          <w:rFonts w:ascii="Times New Roman" w:eastAsia="Times New Roman" w:hAnsi="Times New Roman" w:cs="Times New Roman"/>
          <w:bCs/>
          <w:color w:val="000000" w:themeColor="text1"/>
          <w:sz w:val="17"/>
          <w:szCs w:val="17"/>
          <w:lang w:val="en-IN"/>
        </w:rPr>
        <w:t xml:space="preserve">, P. (2020). Innovative soil management and micro-climate modulation for saving water in peach orchards. </w:t>
      </w:r>
      <w:r w:rsidRPr="002F7029">
        <w:rPr>
          <w:rFonts w:ascii="Times New Roman" w:eastAsia="Times New Roman" w:hAnsi="Times New Roman" w:cs="Times New Roman"/>
          <w:bCs/>
          <w:i/>
          <w:iCs/>
          <w:color w:val="000000" w:themeColor="text1"/>
          <w:sz w:val="17"/>
          <w:szCs w:val="17"/>
          <w:lang w:val="en-IN"/>
        </w:rPr>
        <w:t>Frontiers in Plant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11</w:t>
      </w:r>
      <w:r w:rsidRPr="002F7029">
        <w:rPr>
          <w:rFonts w:ascii="Times New Roman" w:eastAsia="Times New Roman" w:hAnsi="Times New Roman" w:cs="Times New Roman"/>
          <w:bCs/>
          <w:color w:val="000000" w:themeColor="text1"/>
          <w:sz w:val="17"/>
          <w:szCs w:val="17"/>
          <w:lang w:val="en-IN"/>
        </w:rPr>
        <w:t xml:space="preserve">, Article 1052. </w:t>
      </w:r>
      <w:hyperlink r:id="rId33">
        <w:r w:rsidRPr="002F7029">
          <w:rPr>
            <w:rStyle w:val="Hyperlink"/>
            <w:rFonts w:ascii="Times New Roman" w:eastAsia="Times New Roman" w:hAnsi="Times New Roman" w:cs="Times New Roman"/>
            <w:bCs/>
            <w:color w:val="000000" w:themeColor="text1"/>
            <w:sz w:val="17"/>
            <w:szCs w:val="17"/>
            <w:u w:val="none"/>
            <w:lang w:val="en-IN"/>
          </w:rPr>
          <w:t>https://doi.org/10.3389/fpls.2020.01052</w:t>
        </w:r>
      </w:hyperlink>
    </w:p>
    <w:p w14:paraId="4BF473CF"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Campoy, J. A., Ruiz, D., &amp; Egea, J. (2011). Dormancy in temperate fruit trees in a global warming context: A review. </w:t>
      </w:r>
      <w:r w:rsidRPr="002F7029">
        <w:rPr>
          <w:rFonts w:ascii="Times New Roman" w:eastAsia="Times New Roman" w:hAnsi="Times New Roman" w:cs="Times New Roman"/>
          <w:bCs/>
          <w:i/>
          <w:iCs/>
          <w:color w:val="000000" w:themeColor="text1"/>
          <w:sz w:val="17"/>
          <w:szCs w:val="17"/>
          <w:lang w:val="en-IN"/>
        </w:rPr>
        <w:t xml:space="preserve">Scientia </w:t>
      </w:r>
      <w:proofErr w:type="spellStart"/>
      <w:r w:rsidRPr="002F7029">
        <w:rPr>
          <w:rFonts w:ascii="Times New Roman" w:eastAsia="Times New Roman" w:hAnsi="Times New Roman" w:cs="Times New Roman"/>
          <w:bCs/>
          <w:i/>
          <w:iCs/>
          <w:color w:val="000000" w:themeColor="text1"/>
          <w:sz w:val="17"/>
          <w:szCs w:val="17"/>
          <w:lang w:val="en-IN"/>
        </w:rPr>
        <w:t>Horticulturae</w:t>
      </w:r>
      <w:proofErr w:type="spellEnd"/>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130</w:t>
      </w:r>
      <w:r w:rsidRPr="002F7029">
        <w:rPr>
          <w:rFonts w:ascii="Times New Roman" w:eastAsia="Times New Roman" w:hAnsi="Times New Roman" w:cs="Times New Roman"/>
          <w:bCs/>
          <w:color w:val="000000" w:themeColor="text1"/>
          <w:sz w:val="17"/>
          <w:szCs w:val="17"/>
          <w:lang w:val="en-IN"/>
        </w:rPr>
        <w:t xml:space="preserve">(2), 357–372. </w:t>
      </w:r>
      <w:hyperlink r:id="rId34">
        <w:r w:rsidRPr="002F7029">
          <w:rPr>
            <w:rStyle w:val="Hyperlink"/>
            <w:rFonts w:ascii="Times New Roman" w:eastAsia="Times New Roman" w:hAnsi="Times New Roman" w:cs="Times New Roman"/>
            <w:bCs/>
            <w:color w:val="000000" w:themeColor="text1"/>
            <w:sz w:val="17"/>
            <w:szCs w:val="17"/>
            <w:u w:val="none"/>
            <w:lang w:val="en-IN"/>
          </w:rPr>
          <w:t>https://doi.org/10.1016/j.scienta.2011.07.011</w:t>
        </w:r>
      </w:hyperlink>
    </w:p>
    <w:p w14:paraId="7C0BAF8D"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Carella, A., Bulacio Fischer, P. T., </w:t>
      </w:r>
      <w:proofErr w:type="spellStart"/>
      <w:r w:rsidRPr="002F7029">
        <w:rPr>
          <w:rFonts w:ascii="Times New Roman" w:eastAsia="Times New Roman" w:hAnsi="Times New Roman" w:cs="Times New Roman"/>
          <w:bCs/>
          <w:color w:val="000000" w:themeColor="text1"/>
          <w:sz w:val="17"/>
          <w:szCs w:val="17"/>
          <w:lang w:val="en-IN"/>
        </w:rPr>
        <w:t>Massenti</w:t>
      </w:r>
      <w:proofErr w:type="spellEnd"/>
      <w:r w:rsidRPr="002F7029">
        <w:rPr>
          <w:rFonts w:ascii="Times New Roman" w:eastAsia="Times New Roman" w:hAnsi="Times New Roman" w:cs="Times New Roman"/>
          <w:bCs/>
          <w:color w:val="000000" w:themeColor="text1"/>
          <w:sz w:val="17"/>
          <w:szCs w:val="17"/>
          <w:lang w:val="en-IN"/>
        </w:rPr>
        <w:t xml:space="preserve">, R., &amp; Lo Bianco, R. (2024). Continuous plant-based and remote sensing for determination of fruit tree water status. </w:t>
      </w:r>
      <w:proofErr w:type="spellStart"/>
      <w:r w:rsidRPr="002F7029">
        <w:rPr>
          <w:rFonts w:ascii="Times New Roman" w:eastAsia="Times New Roman" w:hAnsi="Times New Roman" w:cs="Times New Roman"/>
          <w:bCs/>
          <w:i/>
          <w:iCs/>
          <w:color w:val="000000" w:themeColor="text1"/>
          <w:sz w:val="17"/>
          <w:szCs w:val="17"/>
          <w:lang w:val="en-IN"/>
        </w:rPr>
        <w:t>Horticulturae</w:t>
      </w:r>
      <w:proofErr w:type="spellEnd"/>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10</w:t>
      </w:r>
      <w:r w:rsidRPr="002F7029">
        <w:rPr>
          <w:rFonts w:ascii="Times New Roman" w:eastAsia="Times New Roman" w:hAnsi="Times New Roman" w:cs="Times New Roman"/>
          <w:bCs/>
          <w:color w:val="000000" w:themeColor="text1"/>
          <w:sz w:val="17"/>
          <w:szCs w:val="17"/>
          <w:lang w:val="en-IN"/>
        </w:rPr>
        <w:t xml:space="preserve">(5), Article 516. </w:t>
      </w:r>
      <w:hyperlink r:id="rId35">
        <w:r w:rsidRPr="002F7029">
          <w:rPr>
            <w:rStyle w:val="Hyperlink"/>
            <w:rFonts w:ascii="Times New Roman" w:eastAsia="Times New Roman" w:hAnsi="Times New Roman" w:cs="Times New Roman"/>
            <w:bCs/>
            <w:color w:val="000000" w:themeColor="text1"/>
            <w:sz w:val="17"/>
            <w:szCs w:val="17"/>
            <w:u w:val="none"/>
            <w:lang w:val="en-IN"/>
          </w:rPr>
          <w:t>https://doi.org/10.3390/horticulturae10050516</w:t>
        </w:r>
      </w:hyperlink>
    </w:p>
    <w:p w14:paraId="675AAEE1"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Carraro, P., Naeem, M. Y., Girardi, F., Botton, A., </w:t>
      </w:r>
      <w:proofErr w:type="spellStart"/>
      <w:r w:rsidRPr="002F7029">
        <w:rPr>
          <w:rFonts w:ascii="Times New Roman" w:eastAsia="Times New Roman" w:hAnsi="Times New Roman" w:cs="Times New Roman"/>
          <w:bCs/>
          <w:color w:val="000000" w:themeColor="text1"/>
          <w:sz w:val="17"/>
          <w:szCs w:val="17"/>
          <w:lang w:val="en-IN"/>
        </w:rPr>
        <w:t>Varotto</w:t>
      </w:r>
      <w:proofErr w:type="spellEnd"/>
      <w:r w:rsidRPr="002F7029">
        <w:rPr>
          <w:rFonts w:ascii="Times New Roman" w:eastAsia="Times New Roman" w:hAnsi="Times New Roman" w:cs="Times New Roman"/>
          <w:bCs/>
          <w:color w:val="000000" w:themeColor="text1"/>
          <w:sz w:val="17"/>
          <w:szCs w:val="17"/>
          <w:lang w:val="en-IN"/>
        </w:rPr>
        <w:t xml:space="preserve">, S., Ruperti, B., &amp; </w:t>
      </w:r>
      <w:proofErr w:type="spellStart"/>
      <w:r w:rsidRPr="002F7029">
        <w:rPr>
          <w:rFonts w:ascii="Times New Roman" w:eastAsia="Times New Roman" w:hAnsi="Times New Roman" w:cs="Times New Roman"/>
          <w:bCs/>
          <w:color w:val="000000" w:themeColor="text1"/>
          <w:sz w:val="17"/>
          <w:szCs w:val="17"/>
          <w:lang w:val="en-IN"/>
        </w:rPr>
        <w:t>Bonghi</w:t>
      </w:r>
      <w:proofErr w:type="spellEnd"/>
      <w:r w:rsidRPr="002F7029">
        <w:rPr>
          <w:rFonts w:ascii="Times New Roman" w:eastAsia="Times New Roman" w:hAnsi="Times New Roman" w:cs="Times New Roman"/>
          <w:bCs/>
          <w:color w:val="000000" w:themeColor="text1"/>
          <w:sz w:val="17"/>
          <w:szCs w:val="17"/>
          <w:lang w:val="en-IN"/>
        </w:rPr>
        <w:t>, C. (2026). A rootstock-</w:t>
      </w:r>
      <w:proofErr w:type="spellStart"/>
      <w:r w:rsidRPr="002F7029">
        <w:rPr>
          <w:rFonts w:ascii="Times New Roman" w:eastAsia="Times New Roman" w:hAnsi="Times New Roman" w:cs="Times New Roman"/>
          <w:bCs/>
          <w:color w:val="000000" w:themeColor="text1"/>
          <w:sz w:val="17"/>
          <w:szCs w:val="17"/>
          <w:lang w:val="en-IN"/>
        </w:rPr>
        <w:t>centered</w:t>
      </w:r>
      <w:proofErr w:type="spellEnd"/>
      <w:r w:rsidRPr="002F7029">
        <w:rPr>
          <w:rFonts w:ascii="Times New Roman" w:eastAsia="Times New Roman" w:hAnsi="Times New Roman" w:cs="Times New Roman"/>
          <w:bCs/>
          <w:color w:val="000000" w:themeColor="text1"/>
          <w:sz w:val="17"/>
          <w:szCs w:val="17"/>
          <w:lang w:val="en-IN"/>
        </w:rPr>
        <w:t xml:space="preserve"> perspective on the regulation of alternate bearing in fruit trees. </w:t>
      </w:r>
      <w:r w:rsidRPr="002F7029">
        <w:rPr>
          <w:rFonts w:ascii="Times New Roman" w:eastAsia="Times New Roman" w:hAnsi="Times New Roman" w:cs="Times New Roman"/>
          <w:bCs/>
          <w:i/>
          <w:iCs/>
          <w:color w:val="000000" w:themeColor="text1"/>
          <w:sz w:val="17"/>
          <w:szCs w:val="17"/>
          <w:lang w:val="en-IN"/>
        </w:rPr>
        <w:t>Journal of Experimental Botany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77</w:t>
      </w:r>
      <w:r w:rsidRPr="002F7029">
        <w:rPr>
          <w:rFonts w:ascii="Times New Roman" w:eastAsia="Times New Roman" w:hAnsi="Times New Roman" w:cs="Times New Roman"/>
          <w:bCs/>
          <w:color w:val="000000" w:themeColor="text1"/>
          <w:sz w:val="17"/>
          <w:szCs w:val="17"/>
          <w:lang w:val="en-IN"/>
        </w:rPr>
        <w:t xml:space="preserve">(2), 267–281. </w:t>
      </w:r>
      <w:hyperlink r:id="rId36">
        <w:r w:rsidRPr="002F7029">
          <w:rPr>
            <w:rStyle w:val="Hyperlink"/>
            <w:rFonts w:ascii="Times New Roman" w:eastAsia="Times New Roman" w:hAnsi="Times New Roman" w:cs="Times New Roman"/>
            <w:bCs/>
            <w:color w:val="000000" w:themeColor="text1"/>
            <w:sz w:val="17"/>
            <w:szCs w:val="17"/>
            <w:u w:val="none"/>
            <w:lang w:val="en-IN"/>
          </w:rPr>
          <w:t>https://doi.org/10.1093/jxb/eraf460</w:t>
        </w:r>
      </w:hyperlink>
    </w:p>
    <w:p w14:paraId="1CF3D4EB"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Caspersen, L., </w:t>
      </w:r>
      <w:proofErr w:type="spellStart"/>
      <w:r w:rsidRPr="002F7029">
        <w:rPr>
          <w:rFonts w:ascii="Times New Roman" w:eastAsia="Times New Roman" w:hAnsi="Times New Roman" w:cs="Times New Roman"/>
          <w:bCs/>
          <w:color w:val="000000" w:themeColor="text1"/>
          <w:sz w:val="17"/>
          <w:szCs w:val="17"/>
          <w:lang w:val="en-IN"/>
        </w:rPr>
        <w:t>Schiffers</w:t>
      </w:r>
      <w:proofErr w:type="spellEnd"/>
      <w:r w:rsidRPr="002F7029">
        <w:rPr>
          <w:rFonts w:ascii="Times New Roman" w:eastAsia="Times New Roman" w:hAnsi="Times New Roman" w:cs="Times New Roman"/>
          <w:bCs/>
          <w:color w:val="000000" w:themeColor="text1"/>
          <w:sz w:val="17"/>
          <w:szCs w:val="17"/>
          <w:lang w:val="en-IN"/>
        </w:rPr>
        <w:t xml:space="preserve">, K., Milyaev, A., Neuwald, D., &amp; </w:t>
      </w:r>
      <w:proofErr w:type="spellStart"/>
      <w:r w:rsidRPr="002F7029">
        <w:rPr>
          <w:rFonts w:ascii="Times New Roman" w:eastAsia="Times New Roman" w:hAnsi="Times New Roman" w:cs="Times New Roman"/>
          <w:bCs/>
          <w:color w:val="000000" w:themeColor="text1"/>
          <w:sz w:val="17"/>
          <w:szCs w:val="17"/>
          <w:lang w:val="en-IN"/>
        </w:rPr>
        <w:t>Luedeling</w:t>
      </w:r>
      <w:proofErr w:type="spellEnd"/>
      <w:r w:rsidRPr="002F7029">
        <w:rPr>
          <w:rFonts w:ascii="Times New Roman" w:eastAsia="Times New Roman" w:hAnsi="Times New Roman" w:cs="Times New Roman"/>
          <w:bCs/>
          <w:color w:val="000000" w:themeColor="text1"/>
          <w:sz w:val="17"/>
          <w:szCs w:val="17"/>
          <w:lang w:val="en-IN"/>
        </w:rPr>
        <w:t xml:space="preserve">, E. (2025). Spring phenology projections for apples in southwestern Germany indicate persistent frost risk levels. </w:t>
      </w:r>
      <w:r w:rsidRPr="002F7029">
        <w:rPr>
          <w:rFonts w:ascii="Times New Roman" w:eastAsia="Times New Roman" w:hAnsi="Times New Roman" w:cs="Times New Roman"/>
          <w:bCs/>
          <w:i/>
          <w:iCs/>
          <w:color w:val="000000" w:themeColor="text1"/>
          <w:sz w:val="17"/>
          <w:szCs w:val="17"/>
          <w:lang w:val="en-IN"/>
        </w:rPr>
        <w:t>Agricultural and Forest Meteorology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374</w:t>
      </w:r>
      <w:r w:rsidRPr="002F7029">
        <w:rPr>
          <w:rFonts w:ascii="Times New Roman" w:eastAsia="Times New Roman" w:hAnsi="Times New Roman" w:cs="Times New Roman"/>
          <w:bCs/>
          <w:color w:val="000000" w:themeColor="text1"/>
          <w:sz w:val="17"/>
          <w:szCs w:val="17"/>
          <w:lang w:val="en-IN"/>
        </w:rPr>
        <w:t xml:space="preserve">, Article 110824. </w:t>
      </w:r>
      <w:hyperlink r:id="rId37">
        <w:r w:rsidRPr="002F7029">
          <w:rPr>
            <w:rStyle w:val="Hyperlink"/>
            <w:rFonts w:ascii="Times New Roman" w:eastAsia="Times New Roman" w:hAnsi="Times New Roman" w:cs="Times New Roman"/>
            <w:bCs/>
            <w:color w:val="000000" w:themeColor="text1"/>
            <w:sz w:val="17"/>
            <w:szCs w:val="17"/>
            <w:u w:val="none"/>
            <w:lang w:val="en-IN"/>
          </w:rPr>
          <w:t>https://doi.org/10.1016/j.agrformet.2025.110824</w:t>
        </w:r>
      </w:hyperlink>
    </w:p>
    <w:p w14:paraId="513BF36B"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Celton, J.-M., Martinez, S., Jammes, M.-J., </w:t>
      </w:r>
      <w:proofErr w:type="spellStart"/>
      <w:r w:rsidRPr="002F7029">
        <w:rPr>
          <w:rFonts w:ascii="Times New Roman" w:eastAsia="Times New Roman" w:hAnsi="Times New Roman" w:cs="Times New Roman"/>
          <w:bCs/>
          <w:color w:val="000000" w:themeColor="text1"/>
          <w:sz w:val="17"/>
          <w:szCs w:val="17"/>
          <w:lang w:val="en-IN"/>
        </w:rPr>
        <w:t>Bechti</w:t>
      </w:r>
      <w:proofErr w:type="spellEnd"/>
      <w:r w:rsidRPr="002F7029">
        <w:rPr>
          <w:rFonts w:ascii="Times New Roman" w:eastAsia="Times New Roman" w:hAnsi="Times New Roman" w:cs="Times New Roman"/>
          <w:bCs/>
          <w:color w:val="000000" w:themeColor="text1"/>
          <w:sz w:val="17"/>
          <w:szCs w:val="17"/>
          <w:lang w:val="en-IN"/>
        </w:rPr>
        <w:t xml:space="preserve">, A., Salvi, S., </w:t>
      </w:r>
      <w:proofErr w:type="spellStart"/>
      <w:r w:rsidRPr="002F7029">
        <w:rPr>
          <w:rFonts w:ascii="Times New Roman" w:eastAsia="Times New Roman" w:hAnsi="Times New Roman" w:cs="Times New Roman"/>
          <w:bCs/>
          <w:color w:val="000000" w:themeColor="text1"/>
          <w:sz w:val="17"/>
          <w:szCs w:val="17"/>
          <w:lang w:val="en-IN"/>
        </w:rPr>
        <w:t>Legave</w:t>
      </w:r>
      <w:proofErr w:type="spellEnd"/>
      <w:r w:rsidRPr="002F7029">
        <w:rPr>
          <w:rFonts w:ascii="Times New Roman" w:eastAsia="Times New Roman" w:hAnsi="Times New Roman" w:cs="Times New Roman"/>
          <w:bCs/>
          <w:color w:val="000000" w:themeColor="text1"/>
          <w:sz w:val="17"/>
          <w:szCs w:val="17"/>
          <w:lang w:val="en-IN"/>
        </w:rPr>
        <w:t xml:space="preserve">, J.-M., &amp; Costes, E. (2011). Deciphering the genetic determinism of bud phenology in apple progenies: A new insight into chilling and heat requirement effects on flowering dates and positional candidate genes. </w:t>
      </w:r>
      <w:r w:rsidRPr="002F7029">
        <w:rPr>
          <w:rFonts w:ascii="Times New Roman" w:eastAsia="Times New Roman" w:hAnsi="Times New Roman" w:cs="Times New Roman"/>
          <w:bCs/>
          <w:i/>
          <w:iCs/>
          <w:color w:val="000000" w:themeColor="text1"/>
          <w:sz w:val="17"/>
          <w:szCs w:val="17"/>
          <w:lang w:val="en-IN"/>
        </w:rPr>
        <w:t>New Phytologist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192</w:t>
      </w:r>
      <w:r w:rsidRPr="002F7029">
        <w:rPr>
          <w:rFonts w:ascii="Times New Roman" w:eastAsia="Times New Roman" w:hAnsi="Times New Roman" w:cs="Times New Roman"/>
          <w:bCs/>
          <w:color w:val="000000" w:themeColor="text1"/>
          <w:sz w:val="17"/>
          <w:szCs w:val="17"/>
          <w:lang w:val="en-IN"/>
        </w:rPr>
        <w:t xml:space="preserve">(2), 378–392. </w:t>
      </w:r>
      <w:hyperlink r:id="rId38">
        <w:r w:rsidRPr="002F7029">
          <w:rPr>
            <w:rStyle w:val="Hyperlink"/>
            <w:rFonts w:ascii="Times New Roman" w:eastAsia="Times New Roman" w:hAnsi="Times New Roman" w:cs="Times New Roman"/>
            <w:bCs/>
            <w:color w:val="000000" w:themeColor="text1"/>
            <w:sz w:val="17"/>
            <w:szCs w:val="17"/>
            <w:u w:val="none"/>
            <w:lang w:val="en-IN"/>
          </w:rPr>
          <w:t>https://doi.org/10.1111/j.1469-8137.2011.03823.x</w:t>
        </w:r>
      </w:hyperlink>
    </w:p>
    <w:p w14:paraId="03F6249E"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Chai, Q., Gan, Y., Zhao, C., Xu, H.-L., Waskom, R. M., Niu, Y., &amp; Siddique, K. H. M. (2016). Regulated deficit irrigation for crop production under drought stress. A review. </w:t>
      </w:r>
      <w:r w:rsidRPr="002F7029">
        <w:rPr>
          <w:rFonts w:ascii="Times New Roman" w:eastAsia="Times New Roman" w:hAnsi="Times New Roman" w:cs="Times New Roman"/>
          <w:bCs/>
          <w:i/>
          <w:iCs/>
          <w:color w:val="000000" w:themeColor="text1"/>
          <w:sz w:val="17"/>
          <w:szCs w:val="17"/>
          <w:lang w:val="en-IN"/>
        </w:rPr>
        <w:t>Agronomy for Sustainable Development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36</w:t>
      </w:r>
      <w:r w:rsidRPr="002F7029">
        <w:rPr>
          <w:rFonts w:ascii="Times New Roman" w:eastAsia="Times New Roman" w:hAnsi="Times New Roman" w:cs="Times New Roman"/>
          <w:bCs/>
          <w:color w:val="000000" w:themeColor="text1"/>
          <w:sz w:val="17"/>
          <w:szCs w:val="17"/>
          <w:lang w:val="en-IN"/>
        </w:rPr>
        <w:t xml:space="preserve">(1), Article 3. </w:t>
      </w:r>
      <w:hyperlink r:id="rId39">
        <w:r w:rsidRPr="002F7029">
          <w:rPr>
            <w:rStyle w:val="Hyperlink"/>
            <w:rFonts w:ascii="Times New Roman" w:eastAsia="Times New Roman" w:hAnsi="Times New Roman" w:cs="Times New Roman"/>
            <w:bCs/>
            <w:color w:val="000000" w:themeColor="text1"/>
            <w:sz w:val="17"/>
            <w:szCs w:val="17"/>
            <w:u w:val="none"/>
            <w:lang w:val="en-IN"/>
          </w:rPr>
          <w:t>https://doi.org/10.1007/s13593-015-0338-6</w:t>
        </w:r>
      </w:hyperlink>
    </w:p>
    <w:p w14:paraId="14E78596"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Chalmers, D. J., Mitchell, P. D., &amp; van Heek, L. (1981). Control of peach tree growth and productivity by regulated water supply, tree density, and summer pruning. </w:t>
      </w:r>
      <w:r w:rsidRPr="002F7029">
        <w:rPr>
          <w:rFonts w:ascii="Times New Roman" w:eastAsia="Times New Roman" w:hAnsi="Times New Roman" w:cs="Times New Roman"/>
          <w:bCs/>
          <w:i/>
          <w:iCs/>
          <w:color w:val="000000" w:themeColor="text1"/>
          <w:sz w:val="17"/>
          <w:szCs w:val="17"/>
          <w:lang w:val="en-IN"/>
        </w:rPr>
        <w:t>Journal of the American Society for Horticultural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106</w:t>
      </w:r>
      <w:r w:rsidRPr="002F7029">
        <w:rPr>
          <w:rFonts w:ascii="Times New Roman" w:eastAsia="Times New Roman" w:hAnsi="Times New Roman" w:cs="Times New Roman"/>
          <w:bCs/>
          <w:color w:val="000000" w:themeColor="text1"/>
          <w:sz w:val="17"/>
          <w:szCs w:val="17"/>
          <w:lang w:val="en-IN"/>
        </w:rPr>
        <w:t xml:space="preserve">(3), 307–312. </w:t>
      </w:r>
      <w:hyperlink r:id="rId40">
        <w:r w:rsidRPr="002F7029">
          <w:rPr>
            <w:rStyle w:val="Hyperlink"/>
            <w:rFonts w:ascii="Times New Roman" w:eastAsia="Times New Roman" w:hAnsi="Times New Roman" w:cs="Times New Roman"/>
            <w:bCs/>
            <w:color w:val="000000" w:themeColor="text1"/>
            <w:sz w:val="17"/>
            <w:szCs w:val="17"/>
            <w:u w:val="none"/>
            <w:lang w:val="en-IN"/>
          </w:rPr>
          <w:t>https://doi.org/10.21273/jashs.106.3.307</w:t>
        </w:r>
      </w:hyperlink>
    </w:p>
    <w:p w14:paraId="10FC8A36"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Charrier, G., </w:t>
      </w:r>
      <w:proofErr w:type="spellStart"/>
      <w:r w:rsidRPr="002F7029">
        <w:rPr>
          <w:rFonts w:ascii="Times New Roman" w:eastAsia="Times New Roman" w:hAnsi="Times New Roman" w:cs="Times New Roman"/>
          <w:bCs/>
          <w:color w:val="000000" w:themeColor="text1"/>
          <w:sz w:val="17"/>
          <w:szCs w:val="17"/>
          <w:lang w:val="en-IN"/>
        </w:rPr>
        <w:t>Delzon</w:t>
      </w:r>
      <w:proofErr w:type="spellEnd"/>
      <w:r w:rsidRPr="002F7029">
        <w:rPr>
          <w:rFonts w:ascii="Times New Roman" w:eastAsia="Times New Roman" w:hAnsi="Times New Roman" w:cs="Times New Roman"/>
          <w:bCs/>
          <w:color w:val="000000" w:themeColor="text1"/>
          <w:sz w:val="17"/>
          <w:szCs w:val="17"/>
          <w:lang w:val="en-IN"/>
        </w:rPr>
        <w:t xml:space="preserve">, S., Domec, J.-C., Zhang, L., Delmas, C. E. L., Merlin, I., Corso, D., King, A., Ojeda, H., Ollat, N., Prieto, J. A., </w:t>
      </w:r>
      <w:proofErr w:type="spellStart"/>
      <w:r w:rsidRPr="002F7029">
        <w:rPr>
          <w:rFonts w:ascii="Times New Roman" w:eastAsia="Times New Roman" w:hAnsi="Times New Roman" w:cs="Times New Roman"/>
          <w:bCs/>
          <w:color w:val="000000" w:themeColor="text1"/>
          <w:sz w:val="17"/>
          <w:szCs w:val="17"/>
          <w:lang w:val="en-IN"/>
        </w:rPr>
        <w:t>Scholach</w:t>
      </w:r>
      <w:proofErr w:type="spellEnd"/>
      <w:r w:rsidRPr="002F7029">
        <w:rPr>
          <w:rFonts w:ascii="Times New Roman" w:eastAsia="Times New Roman" w:hAnsi="Times New Roman" w:cs="Times New Roman"/>
          <w:bCs/>
          <w:color w:val="000000" w:themeColor="text1"/>
          <w:sz w:val="17"/>
          <w:szCs w:val="17"/>
          <w:lang w:val="en-IN"/>
        </w:rPr>
        <w:t xml:space="preserve">, T., Skinner, P., van Leeuwen, C., &amp; Gambetta, G. A. (2018). Drought will not leave your glass empty: Low risk of hydraulic failure revealed by long-term drought observations in world’s top wine regions. </w:t>
      </w:r>
      <w:r w:rsidRPr="002F7029">
        <w:rPr>
          <w:rFonts w:ascii="Times New Roman" w:eastAsia="Times New Roman" w:hAnsi="Times New Roman" w:cs="Times New Roman"/>
          <w:bCs/>
          <w:i/>
          <w:iCs/>
          <w:color w:val="000000" w:themeColor="text1"/>
          <w:sz w:val="17"/>
          <w:szCs w:val="17"/>
          <w:lang w:val="en-IN"/>
        </w:rPr>
        <w:t>Science Advances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4</w:t>
      </w:r>
      <w:r w:rsidRPr="002F7029">
        <w:rPr>
          <w:rFonts w:ascii="Times New Roman" w:eastAsia="Times New Roman" w:hAnsi="Times New Roman" w:cs="Times New Roman"/>
          <w:bCs/>
          <w:color w:val="000000" w:themeColor="text1"/>
          <w:sz w:val="17"/>
          <w:szCs w:val="17"/>
          <w:lang w:val="en-IN"/>
        </w:rPr>
        <w:t xml:space="preserve">(1), Article eaao6969. </w:t>
      </w:r>
      <w:hyperlink r:id="rId41">
        <w:r w:rsidRPr="002F7029">
          <w:rPr>
            <w:rStyle w:val="Hyperlink"/>
            <w:rFonts w:ascii="Times New Roman" w:eastAsia="Times New Roman" w:hAnsi="Times New Roman" w:cs="Times New Roman"/>
            <w:bCs/>
            <w:color w:val="000000" w:themeColor="text1"/>
            <w:sz w:val="17"/>
            <w:szCs w:val="17"/>
            <w:u w:val="none"/>
            <w:lang w:val="en-IN"/>
          </w:rPr>
          <w:t>https://doi.org/10.1126/sciadv.aao6969</w:t>
        </w:r>
      </w:hyperlink>
    </w:p>
    <w:p w14:paraId="434EEE5E"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Chaves, M. M., Santos, T. P., Souza, C. R., Ortuño, M. F., Rodrigues, M. L., Lopes, C. M., </w:t>
      </w:r>
      <w:proofErr w:type="spellStart"/>
      <w:r w:rsidRPr="002F7029">
        <w:rPr>
          <w:rFonts w:ascii="Times New Roman" w:eastAsia="Times New Roman" w:hAnsi="Times New Roman" w:cs="Times New Roman"/>
          <w:bCs/>
          <w:color w:val="000000" w:themeColor="text1"/>
          <w:sz w:val="17"/>
          <w:szCs w:val="17"/>
          <w:lang w:val="en-IN"/>
        </w:rPr>
        <w:t>Maroco</w:t>
      </w:r>
      <w:proofErr w:type="spellEnd"/>
      <w:r w:rsidRPr="002F7029">
        <w:rPr>
          <w:rFonts w:ascii="Times New Roman" w:eastAsia="Times New Roman" w:hAnsi="Times New Roman" w:cs="Times New Roman"/>
          <w:bCs/>
          <w:color w:val="000000" w:themeColor="text1"/>
          <w:sz w:val="17"/>
          <w:szCs w:val="17"/>
          <w:lang w:val="en-IN"/>
        </w:rPr>
        <w:t xml:space="preserve">, J. P., &amp; Pereira, J. S. (2007). Deficit irrigation in grapevine improves water-use efficiency while controlling vigour and production quality. </w:t>
      </w:r>
      <w:r w:rsidRPr="002F7029">
        <w:rPr>
          <w:rFonts w:ascii="Times New Roman" w:eastAsia="Times New Roman" w:hAnsi="Times New Roman" w:cs="Times New Roman"/>
          <w:bCs/>
          <w:i/>
          <w:iCs/>
          <w:color w:val="000000" w:themeColor="text1"/>
          <w:sz w:val="17"/>
          <w:szCs w:val="17"/>
          <w:lang w:val="en-IN"/>
        </w:rPr>
        <w:t>Annals of Applied Biology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150</w:t>
      </w:r>
      <w:r w:rsidRPr="002F7029">
        <w:rPr>
          <w:rFonts w:ascii="Times New Roman" w:eastAsia="Times New Roman" w:hAnsi="Times New Roman" w:cs="Times New Roman"/>
          <w:bCs/>
          <w:color w:val="000000" w:themeColor="text1"/>
          <w:sz w:val="17"/>
          <w:szCs w:val="17"/>
          <w:lang w:val="en-IN"/>
        </w:rPr>
        <w:t xml:space="preserve">(2), 237–252. </w:t>
      </w:r>
      <w:hyperlink r:id="rId42">
        <w:r w:rsidRPr="002F7029">
          <w:rPr>
            <w:rStyle w:val="Hyperlink"/>
            <w:rFonts w:ascii="Times New Roman" w:eastAsia="Times New Roman" w:hAnsi="Times New Roman" w:cs="Times New Roman"/>
            <w:bCs/>
            <w:color w:val="000000" w:themeColor="text1"/>
            <w:sz w:val="17"/>
            <w:szCs w:val="17"/>
            <w:u w:val="none"/>
            <w:lang w:val="en-IN"/>
          </w:rPr>
          <w:t>https://doi.org/10.1111/j.1744-7348.2006.00123.x</w:t>
        </w:r>
      </w:hyperlink>
    </w:p>
    <w:p w14:paraId="461B6131"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Chaves, M. M., Zarrouk, O., Francisco, R., Costa, J. M., Santos, T., Regalado, A. P., Rodrigues, M. L., &amp; Lopes, C. M. (2010). Grapevine under deficit irrigation: Hints from physiological and molecular data. </w:t>
      </w:r>
      <w:r w:rsidRPr="002F7029">
        <w:rPr>
          <w:rFonts w:ascii="Times New Roman" w:eastAsia="Times New Roman" w:hAnsi="Times New Roman" w:cs="Times New Roman"/>
          <w:bCs/>
          <w:i/>
          <w:iCs/>
          <w:color w:val="000000" w:themeColor="text1"/>
          <w:sz w:val="17"/>
          <w:szCs w:val="17"/>
          <w:lang w:val="en-IN"/>
        </w:rPr>
        <w:t>Annals of Botany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105</w:t>
      </w:r>
      <w:r w:rsidRPr="002F7029">
        <w:rPr>
          <w:rFonts w:ascii="Times New Roman" w:eastAsia="Times New Roman" w:hAnsi="Times New Roman" w:cs="Times New Roman"/>
          <w:bCs/>
          <w:color w:val="000000" w:themeColor="text1"/>
          <w:sz w:val="17"/>
          <w:szCs w:val="17"/>
          <w:lang w:val="en-IN"/>
        </w:rPr>
        <w:t xml:space="preserve">(5), 661–676. </w:t>
      </w:r>
      <w:hyperlink r:id="rId43">
        <w:r w:rsidRPr="002F7029">
          <w:rPr>
            <w:rStyle w:val="Hyperlink"/>
            <w:rFonts w:ascii="Times New Roman" w:eastAsia="Times New Roman" w:hAnsi="Times New Roman" w:cs="Times New Roman"/>
            <w:bCs/>
            <w:color w:val="000000" w:themeColor="text1"/>
            <w:sz w:val="17"/>
            <w:szCs w:val="17"/>
            <w:u w:val="none"/>
            <w:lang w:val="en-IN"/>
          </w:rPr>
          <w:t>https://doi.org/10.1093/aob/mcq030</w:t>
        </w:r>
      </w:hyperlink>
    </w:p>
    <w:p w14:paraId="236C74DC"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lastRenderedPageBreak/>
        <w:t xml:space="preserve">Chmielewski, F.-M., Müller, A., &amp; Bruns, E. (2004). Climate changes and trends in phenology of fruit trees and field crops in Germany, 1961–2000. </w:t>
      </w:r>
      <w:r w:rsidRPr="002F7029">
        <w:rPr>
          <w:rFonts w:ascii="Times New Roman" w:eastAsia="Times New Roman" w:hAnsi="Times New Roman" w:cs="Times New Roman"/>
          <w:bCs/>
          <w:i/>
          <w:iCs/>
          <w:color w:val="000000" w:themeColor="text1"/>
          <w:sz w:val="17"/>
          <w:szCs w:val="17"/>
          <w:lang w:val="en-IN"/>
        </w:rPr>
        <w:t>Agricultural and Forest Meteorology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121</w:t>
      </w:r>
      <w:r w:rsidRPr="002F7029">
        <w:rPr>
          <w:rFonts w:ascii="Times New Roman" w:eastAsia="Times New Roman" w:hAnsi="Times New Roman" w:cs="Times New Roman"/>
          <w:bCs/>
          <w:color w:val="000000" w:themeColor="text1"/>
          <w:sz w:val="17"/>
          <w:szCs w:val="17"/>
          <w:lang w:val="en-IN"/>
        </w:rPr>
        <w:t xml:space="preserve">(1–2), 69–78. </w:t>
      </w:r>
      <w:hyperlink r:id="rId44">
        <w:r w:rsidRPr="002F7029">
          <w:rPr>
            <w:rStyle w:val="Hyperlink"/>
            <w:rFonts w:ascii="Times New Roman" w:eastAsia="Times New Roman" w:hAnsi="Times New Roman" w:cs="Times New Roman"/>
            <w:bCs/>
            <w:color w:val="000000" w:themeColor="text1"/>
            <w:sz w:val="17"/>
            <w:szCs w:val="17"/>
            <w:u w:val="none"/>
            <w:lang w:val="en-IN"/>
          </w:rPr>
          <w:t>https://doi.org/10.1016/s0168-1923(03)00161-8</w:t>
        </w:r>
      </w:hyperlink>
    </w:p>
    <w:p w14:paraId="12CBF085"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Cohen, S., Naor, A., Bennink, J., Grava, A., &amp; Tyree, M. (2007). Hydraulic resistance components of mature apple trees on rootstocks of different </w:t>
      </w:r>
      <w:proofErr w:type="spellStart"/>
      <w:r w:rsidRPr="002F7029">
        <w:rPr>
          <w:rFonts w:ascii="Times New Roman" w:eastAsia="Times New Roman" w:hAnsi="Times New Roman" w:cs="Times New Roman"/>
          <w:bCs/>
          <w:color w:val="000000" w:themeColor="text1"/>
          <w:sz w:val="17"/>
          <w:szCs w:val="17"/>
          <w:lang w:val="en-IN"/>
        </w:rPr>
        <w:t>vigours</w:t>
      </w:r>
      <w:proofErr w:type="spellEnd"/>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Journal of Experimental Botany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58</w:t>
      </w:r>
      <w:r w:rsidRPr="002F7029">
        <w:rPr>
          <w:rFonts w:ascii="Times New Roman" w:eastAsia="Times New Roman" w:hAnsi="Times New Roman" w:cs="Times New Roman"/>
          <w:bCs/>
          <w:color w:val="000000" w:themeColor="text1"/>
          <w:sz w:val="17"/>
          <w:szCs w:val="17"/>
          <w:lang w:val="en-IN"/>
        </w:rPr>
        <w:t xml:space="preserve">(15–16), 4213–4224. </w:t>
      </w:r>
      <w:hyperlink r:id="rId45">
        <w:r w:rsidRPr="002F7029">
          <w:rPr>
            <w:rStyle w:val="Hyperlink"/>
            <w:rFonts w:ascii="Times New Roman" w:eastAsia="Times New Roman" w:hAnsi="Times New Roman" w:cs="Times New Roman"/>
            <w:bCs/>
            <w:color w:val="000000" w:themeColor="text1"/>
            <w:sz w:val="17"/>
            <w:szCs w:val="17"/>
            <w:u w:val="none"/>
            <w:lang w:val="en-IN"/>
          </w:rPr>
          <w:t>https://doi.org/10.1093/jxb/erm281</w:t>
        </w:r>
      </w:hyperlink>
    </w:p>
    <w:p w14:paraId="34D6D491"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Conejero</w:t>
      </w:r>
      <w:proofErr w:type="spellEnd"/>
      <w:r w:rsidRPr="002F7029">
        <w:rPr>
          <w:rFonts w:ascii="Times New Roman" w:eastAsia="Times New Roman" w:hAnsi="Times New Roman" w:cs="Times New Roman"/>
          <w:bCs/>
          <w:color w:val="000000" w:themeColor="text1"/>
          <w:sz w:val="17"/>
          <w:szCs w:val="17"/>
          <w:lang w:val="en-IN"/>
        </w:rPr>
        <w:t xml:space="preserve">, W., Alarcon, J. J., Garcia-Orellana, Y., </w:t>
      </w:r>
      <w:proofErr w:type="spellStart"/>
      <w:r w:rsidRPr="002F7029">
        <w:rPr>
          <w:rFonts w:ascii="Times New Roman" w:eastAsia="Times New Roman" w:hAnsi="Times New Roman" w:cs="Times New Roman"/>
          <w:bCs/>
          <w:color w:val="000000" w:themeColor="text1"/>
          <w:sz w:val="17"/>
          <w:szCs w:val="17"/>
          <w:lang w:val="en-IN"/>
        </w:rPr>
        <w:t>Abrisqueta</w:t>
      </w:r>
      <w:proofErr w:type="spellEnd"/>
      <w:r w:rsidRPr="002F7029">
        <w:rPr>
          <w:rFonts w:ascii="Times New Roman" w:eastAsia="Times New Roman" w:hAnsi="Times New Roman" w:cs="Times New Roman"/>
          <w:bCs/>
          <w:color w:val="000000" w:themeColor="text1"/>
          <w:sz w:val="17"/>
          <w:szCs w:val="17"/>
          <w:lang w:val="en-IN"/>
        </w:rPr>
        <w:t xml:space="preserve">, J. M., &amp; Torrecillas, A. (2007). Daily sap flow and maximum daily trunk shrinkage measurements for diagnosing water stress in early maturing peach trees during the post-harvest period. </w:t>
      </w:r>
      <w:r w:rsidRPr="002F7029">
        <w:rPr>
          <w:rFonts w:ascii="Times New Roman" w:eastAsia="Times New Roman" w:hAnsi="Times New Roman" w:cs="Times New Roman"/>
          <w:bCs/>
          <w:i/>
          <w:iCs/>
          <w:color w:val="000000" w:themeColor="text1"/>
          <w:sz w:val="17"/>
          <w:szCs w:val="17"/>
          <w:lang w:val="en-IN"/>
        </w:rPr>
        <w:t>Tree Physiology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27</w:t>
      </w:r>
      <w:r w:rsidRPr="002F7029">
        <w:rPr>
          <w:rFonts w:ascii="Times New Roman" w:eastAsia="Times New Roman" w:hAnsi="Times New Roman" w:cs="Times New Roman"/>
          <w:bCs/>
          <w:color w:val="000000" w:themeColor="text1"/>
          <w:sz w:val="17"/>
          <w:szCs w:val="17"/>
          <w:lang w:val="en-IN"/>
        </w:rPr>
        <w:t xml:space="preserve">(1), 81–88. </w:t>
      </w:r>
      <w:hyperlink r:id="rId46">
        <w:r w:rsidRPr="002F7029">
          <w:rPr>
            <w:rStyle w:val="Hyperlink"/>
            <w:rFonts w:ascii="Times New Roman" w:eastAsia="Times New Roman" w:hAnsi="Times New Roman" w:cs="Times New Roman"/>
            <w:bCs/>
            <w:color w:val="000000" w:themeColor="text1"/>
            <w:sz w:val="17"/>
            <w:szCs w:val="17"/>
            <w:u w:val="none"/>
            <w:lang w:val="en-IN"/>
          </w:rPr>
          <w:t>https://doi.org/10.1093/treephys/27.1.81</w:t>
        </w:r>
      </w:hyperlink>
    </w:p>
    <w:p w14:paraId="30A585A2"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Criado, M., Brisson, M., Alix, K., Bourgeois, Y. X. C., François, O., </w:t>
      </w:r>
      <w:proofErr w:type="spellStart"/>
      <w:r w:rsidRPr="002F7029">
        <w:rPr>
          <w:rFonts w:ascii="Times New Roman" w:eastAsia="Times New Roman" w:hAnsi="Times New Roman" w:cs="Times New Roman"/>
          <w:bCs/>
          <w:color w:val="000000" w:themeColor="text1"/>
          <w:sz w:val="17"/>
          <w:szCs w:val="17"/>
          <w:lang w:val="en-IN"/>
        </w:rPr>
        <w:t>Marchadier</w:t>
      </w:r>
      <w:proofErr w:type="spellEnd"/>
      <w:r w:rsidRPr="002F7029">
        <w:rPr>
          <w:rFonts w:ascii="Times New Roman" w:eastAsia="Times New Roman" w:hAnsi="Times New Roman" w:cs="Times New Roman"/>
          <w:bCs/>
          <w:color w:val="000000" w:themeColor="text1"/>
          <w:sz w:val="17"/>
          <w:szCs w:val="17"/>
          <w:lang w:val="en-IN"/>
        </w:rPr>
        <w:t xml:space="preserve">, É., &amp; Cornille, A. (2026). Genomic forecasting for climate-resilient fruit trees. </w:t>
      </w:r>
      <w:r w:rsidRPr="002F7029">
        <w:rPr>
          <w:rFonts w:ascii="Times New Roman" w:eastAsia="Times New Roman" w:hAnsi="Times New Roman" w:cs="Times New Roman"/>
          <w:bCs/>
          <w:i/>
          <w:iCs/>
          <w:color w:val="000000" w:themeColor="text1"/>
          <w:sz w:val="17"/>
          <w:szCs w:val="17"/>
          <w:lang w:val="en-IN"/>
        </w:rPr>
        <w:t>New Phytologist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251</w:t>
      </w:r>
      <w:r w:rsidRPr="002F7029">
        <w:rPr>
          <w:rFonts w:ascii="Times New Roman" w:eastAsia="Times New Roman" w:hAnsi="Times New Roman" w:cs="Times New Roman"/>
          <w:bCs/>
          <w:color w:val="000000" w:themeColor="text1"/>
          <w:sz w:val="17"/>
          <w:szCs w:val="17"/>
          <w:lang w:val="en-IN"/>
        </w:rPr>
        <w:t xml:space="preserve">(4), 1640–1653. </w:t>
      </w:r>
      <w:hyperlink r:id="rId47">
        <w:r w:rsidRPr="002F7029">
          <w:rPr>
            <w:rStyle w:val="Hyperlink"/>
            <w:rFonts w:ascii="Times New Roman" w:eastAsia="Times New Roman" w:hAnsi="Times New Roman" w:cs="Times New Roman"/>
            <w:bCs/>
            <w:color w:val="000000" w:themeColor="text1"/>
            <w:sz w:val="17"/>
            <w:szCs w:val="17"/>
            <w:u w:val="none"/>
            <w:lang w:val="en-IN"/>
          </w:rPr>
          <w:t>https://doi.org/10.1111/nph.71352</w:t>
        </w:r>
      </w:hyperlink>
    </w:p>
    <w:p w14:paraId="59047237"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da Silva Costa, L., Coelho Filho, M. A., Araújo da Silva, M. A., Moreira, A. S., dos Santos Soares Filho, W., Freschi, L., &amp; da Silva Gesteira, A. (2025). Revisiting citrus rootstocks polyploidy as a means to improve drought resilience: Sometimes less is more. </w:t>
      </w:r>
      <w:r w:rsidRPr="002F7029">
        <w:rPr>
          <w:rFonts w:ascii="Times New Roman" w:eastAsia="Times New Roman" w:hAnsi="Times New Roman" w:cs="Times New Roman"/>
          <w:bCs/>
          <w:i/>
          <w:iCs/>
          <w:color w:val="000000" w:themeColor="text1"/>
          <w:sz w:val="17"/>
          <w:szCs w:val="17"/>
          <w:lang w:val="en-IN"/>
        </w:rPr>
        <w:t>Plant, Cell &amp; Environment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48</w:t>
      </w:r>
      <w:r w:rsidRPr="002F7029">
        <w:rPr>
          <w:rFonts w:ascii="Times New Roman" w:eastAsia="Times New Roman" w:hAnsi="Times New Roman" w:cs="Times New Roman"/>
          <w:bCs/>
          <w:color w:val="000000" w:themeColor="text1"/>
          <w:sz w:val="17"/>
          <w:szCs w:val="17"/>
          <w:lang w:val="en-IN"/>
        </w:rPr>
        <w:t xml:space="preserve">(1), 149–163. </w:t>
      </w:r>
      <w:hyperlink r:id="rId48">
        <w:r w:rsidRPr="002F7029">
          <w:rPr>
            <w:rStyle w:val="Hyperlink"/>
            <w:rFonts w:ascii="Times New Roman" w:eastAsia="Times New Roman" w:hAnsi="Times New Roman" w:cs="Times New Roman"/>
            <w:bCs/>
            <w:color w:val="000000" w:themeColor="text1"/>
            <w:sz w:val="17"/>
            <w:szCs w:val="17"/>
            <w:u w:val="none"/>
            <w:lang w:val="en-IN"/>
          </w:rPr>
          <w:t>https://doi.org/10.1111/pce.15126</w:t>
        </w:r>
      </w:hyperlink>
    </w:p>
    <w:p w14:paraId="1A9E8412"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Dalhaus</w:t>
      </w:r>
      <w:proofErr w:type="spellEnd"/>
      <w:r w:rsidRPr="002F7029">
        <w:rPr>
          <w:rFonts w:ascii="Times New Roman" w:eastAsia="Times New Roman" w:hAnsi="Times New Roman" w:cs="Times New Roman"/>
          <w:bCs/>
          <w:color w:val="000000" w:themeColor="text1"/>
          <w:sz w:val="17"/>
          <w:szCs w:val="17"/>
          <w:lang w:val="en-IN"/>
        </w:rPr>
        <w:t xml:space="preserve">, T., Schlenker, W., Blanke, M. M., Bravin, E., &amp; Finger, R. (2020). The effects of extreme weather on apple quality. </w:t>
      </w:r>
      <w:r w:rsidRPr="002F7029">
        <w:rPr>
          <w:rFonts w:ascii="Times New Roman" w:eastAsia="Times New Roman" w:hAnsi="Times New Roman" w:cs="Times New Roman"/>
          <w:bCs/>
          <w:i/>
          <w:iCs/>
          <w:color w:val="000000" w:themeColor="text1"/>
          <w:sz w:val="17"/>
          <w:szCs w:val="17"/>
          <w:lang w:val="en-IN"/>
        </w:rPr>
        <w:t>Scientific Reports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10</w:t>
      </w:r>
      <w:r w:rsidRPr="002F7029">
        <w:rPr>
          <w:rFonts w:ascii="Times New Roman" w:eastAsia="Times New Roman" w:hAnsi="Times New Roman" w:cs="Times New Roman"/>
          <w:bCs/>
          <w:color w:val="000000" w:themeColor="text1"/>
          <w:sz w:val="17"/>
          <w:szCs w:val="17"/>
          <w:lang w:val="en-IN"/>
        </w:rPr>
        <w:t xml:space="preserve">(1), Article 7919. </w:t>
      </w:r>
      <w:hyperlink r:id="rId49">
        <w:r w:rsidRPr="002F7029">
          <w:rPr>
            <w:rStyle w:val="Hyperlink"/>
            <w:rFonts w:ascii="Times New Roman" w:eastAsia="Times New Roman" w:hAnsi="Times New Roman" w:cs="Times New Roman"/>
            <w:bCs/>
            <w:color w:val="000000" w:themeColor="text1"/>
            <w:sz w:val="17"/>
            <w:szCs w:val="17"/>
            <w:u w:val="none"/>
            <w:lang w:val="en-IN"/>
          </w:rPr>
          <w:t>https://doi.org/10.1038/s41598-020-64806-7</w:t>
        </w:r>
      </w:hyperlink>
    </w:p>
    <w:p w14:paraId="4E3D6315"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Dayer, S., Herrera, J. C., Dai, Z., Burlett, R., Lamarque, L. J., </w:t>
      </w:r>
      <w:proofErr w:type="spellStart"/>
      <w:r w:rsidRPr="002F7029">
        <w:rPr>
          <w:rFonts w:ascii="Times New Roman" w:eastAsia="Times New Roman" w:hAnsi="Times New Roman" w:cs="Times New Roman"/>
          <w:bCs/>
          <w:color w:val="000000" w:themeColor="text1"/>
          <w:sz w:val="17"/>
          <w:szCs w:val="17"/>
          <w:lang w:val="en-IN"/>
        </w:rPr>
        <w:t>Delzon</w:t>
      </w:r>
      <w:proofErr w:type="spellEnd"/>
      <w:r w:rsidRPr="002F7029">
        <w:rPr>
          <w:rFonts w:ascii="Times New Roman" w:eastAsia="Times New Roman" w:hAnsi="Times New Roman" w:cs="Times New Roman"/>
          <w:bCs/>
          <w:color w:val="000000" w:themeColor="text1"/>
          <w:sz w:val="17"/>
          <w:szCs w:val="17"/>
          <w:lang w:val="en-IN"/>
        </w:rPr>
        <w:t xml:space="preserve">, S., </w:t>
      </w:r>
      <w:proofErr w:type="spellStart"/>
      <w:r w:rsidRPr="002F7029">
        <w:rPr>
          <w:rFonts w:ascii="Times New Roman" w:eastAsia="Times New Roman" w:hAnsi="Times New Roman" w:cs="Times New Roman"/>
          <w:bCs/>
          <w:color w:val="000000" w:themeColor="text1"/>
          <w:sz w:val="17"/>
          <w:szCs w:val="17"/>
          <w:lang w:val="en-IN"/>
        </w:rPr>
        <w:t>Bortolami</w:t>
      </w:r>
      <w:proofErr w:type="spellEnd"/>
      <w:r w:rsidRPr="002F7029">
        <w:rPr>
          <w:rFonts w:ascii="Times New Roman" w:eastAsia="Times New Roman" w:hAnsi="Times New Roman" w:cs="Times New Roman"/>
          <w:bCs/>
          <w:color w:val="000000" w:themeColor="text1"/>
          <w:sz w:val="17"/>
          <w:szCs w:val="17"/>
          <w:lang w:val="en-IN"/>
        </w:rPr>
        <w:t xml:space="preserve">, G., Cochard, H., &amp; Gambetta, G. A. (2020). The sequence and thresholds of leaf hydraulic traits underlying grapevine varietal differences in drought tolerance. </w:t>
      </w:r>
      <w:r w:rsidRPr="002F7029">
        <w:rPr>
          <w:rFonts w:ascii="Times New Roman" w:eastAsia="Times New Roman" w:hAnsi="Times New Roman" w:cs="Times New Roman"/>
          <w:bCs/>
          <w:i/>
          <w:iCs/>
          <w:color w:val="000000" w:themeColor="text1"/>
          <w:sz w:val="17"/>
          <w:szCs w:val="17"/>
          <w:lang w:val="en-IN"/>
        </w:rPr>
        <w:t>Journal of Experimental Botany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71</w:t>
      </w:r>
      <w:r w:rsidRPr="002F7029">
        <w:rPr>
          <w:rFonts w:ascii="Times New Roman" w:eastAsia="Times New Roman" w:hAnsi="Times New Roman" w:cs="Times New Roman"/>
          <w:bCs/>
          <w:color w:val="000000" w:themeColor="text1"/>
          <w:sz w:val="17"/>
          <w:szCs w:val="17"/>
          <w:lang w:val="en-IN"/>
        </w:rPr>
        <w:t xml:space="preserve">(14), 4333–4344. </w:t>
      </w:r>
      <w:hyperlink r:id="rId50">
        <w:r w:rsidRPr="002F7029">
          <w:rPr>
            <w:rStyle w:val="Hyperlink"/>
            <w:rFonts w:ascii="Times New Roman" w:eastAsia="Times New Roman" w:hAnsi="Times New Roman" w:cs="Times New Roman"/>
            <w:bCs/>
            <w:color w:val="000000" w:themeColor="text1"/>
            <w:sz w:val="17"/>
            <w:szCs w:val="17"/>
            <w:u w:val="none"/>
            <w:lang w:val="en-IN"/>
          </w:rPr>
          <w:t>https://doi.org/10.1093/jxb/eraa186</w:t>
        </w:r>
      </w:hyperlink>
    </w:p>
    <w:p w14:paraId="240EED7B"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De Swaef, T., Steppe, K., &amp; </w:t>
      </w:r>
      <w:proofErr w:type="spellStart"/>
      <w:r w:rsidRPr="002F7029">
        <w:rPr>
          <w:rFonts w:ascii="Times New Roman" w:eastAsia="Times New Roman" w:hAnsi="Times New Roman" w:cs="Times New Roman"/>
          <w:bCs/>
          <w:color w:val="000000" w:themeColor="text1"/>
          <w:sz w:val="17"/>
          <w:szCs w:val="17"/>
          <w:lang w:val="en-IN"/>
        </w:rPr>
        <w:t>Lemeur</w:t>
      </w:r>
      <w:proofErr w:type="spellEnd"/>
      <w:r w:rsidRPr="002F7029">
        <w:rPr>
          <w:rFonts w:ascii="Times New Roman" w:eastAsia="Times New Roman" w:hAnsi="Times New Roman" w:cs="Times New Roman"/>
          <w:bCs/>
          <w:color w:val="000000" w:themeColor="text1"/>
          <w:sz w:val="17"/>
          <w:szCs w:val="17"/>
          <w:lang w:val="en-IN"/>
        </w:rPr>
        <w:t xml:space="preserve">, R. (2009). Determining reference values for stem water potential and maximum daily trunk shrinkage in young apple trees based on plant responses to water deficit. </w:t>
      </w:r>
      <w:r w:rsidRPr="002F7029">
        <w:rPr>
          <w:rFonts w:ascii="Times New Roman" w:eastAsia="Times New Roman" w:hAnsi="Times New Roman" w:cs="Times New Roman"/>
          <w:bCs/>
          <w:i/>
          <w:iCs/>
          <w:color w:val="000000" w:themeColor="text1"/>
          <w:sz w:val="17"/>
          <w:szCs w:val="17"/>
          <w:lang w:val="en-IN"/>
        </w:rPr>
        <w:t>Agricultural Water Management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96</w:t>
      </w:r>
      <w:r w:rsidRPr="002F7029">
        <w:rPr>
          <w:rFonts w:ascii="Times New Roman" w:eastAsia="Times New Roman" w:hAnsi="Times New Roman" w:cs="Times New Roman"/>
          <w:bCs/>
          <w:color w:val="000000" w:themeColor="text1"/>
          <w:sz w:val="17"/>
          <w:szCs w:val="17"/>
          <w:lang w:val="en-IN"/>
        </w:rPr>
        <w:t xml:space="preserve">(4), 541–550. </w:t>
      </w:r>
      <w:hyperlink r:id="rId51">
        <w:r w:rsidRPr="002F7029">
          <w:rPr>
            <w:rStyle w:val="Hyperlink"/>
            <w:rFonts w:ascii="Times New Roman" w:eastAsia="Times New Roman" w:hAnsi="Times New Roman" w:cs="Times New Roman"/>
            <w:bCs/>
            <w:color w:val="000000" w:themeColor="text1"/>
            <w:sz w:val="17"/>
            <w:szCs w:val="17"/>
            <w:u w:val="none"/>
            <w:lang w:val="en-IN"/>
          </w:rPr>
          <w:t>https://doi.org/10.1016/j.agwat.2008.09.013</w:t>
        </w:r>
      </w:hyperlink>
    </w:p>
    <w:p w14:paraId="6BB93AC8"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Deis, L., Maza Deis, S., Quiroga, A. M., &amp; Fort, F. (2026). Grapevine rootstocks for drought and heat tolerance: Integrating physiological, hydraulic, and molecular mechanisms. </w:t>
      </w:r>
      <w:r w:rsidRPr="002F7029">
        <w:rPr>
          <w:rFonts w:ascii="Times New Roman" w:eastAsia="Times New Roman" w:hAnsi="Times New Roman" w:cs="Times New Roman"/>
          <w:bCs/>
          <w:i/>
          <w:iCs/>
          <w:color w:val="000000" w:themeColor="text1"/>
          <w:sz w:val="17"/>
          <w:szCs w:val="17"/>
          <w:lang w:val="en-IN"/>
        </w:rPr>
        <w:t>Experimental Agriculture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62</w:t>
      </w:r>
      <w:r w:rsidRPr="002F7029">
        <w:rPr>
          <w:rFonts w:ascii="Times New Roman" w:eastAsia="Times New Roman" w:hAnsi="Times New Roman" w:cs="Times New Roman"/>
          <w:bCs/>
          <w:color w:val="000000" w:themeColor="text1"/>
          <w:sz w:val="17"/>
          <w:szCs w:val="17"/>
          <w:lang w:val="en-IN"/>
        </w:rPr>
        <w:t xml:space="preserve">, Article e14. </w:t>
      </w:r>
      <w:hyperlink r:id="rId52">
        <w:r w:rsidRPr="002F7029">
          <w:rPr>
            <w:rStyle w:val="Hyperlink"/>
            <w:rFonts w:ascii="Times New Roman" w:eastAsia="Times New Roman" w:hAnsi="Times New Roman" w:cs="Times New Roman"/>
            <w:bCs/>
            <w:color w:val="000000" w:themeColor="text1"/>
            <w:sz w:val="17"/>
            <w:szCs w:val="17"/>
            <w:u w:val="none"/>
            <w:lang w:val="en-IN"/>
          </w:rPr>
          <w:t>https://doi.org/10.1017/S0014479726100349</w:t>
        </w:r>
      </w:hyperlink>
    </w:p>
    <w:p w14:paraId="3C110637"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Demirel, G., Calle, A., Lawton, J. M., </w:t>
      </w:r>
      <w:proofErr w:type="spellStart"/>
      <w:r w:rsidRPr="002F7029">
        <w:rPr>
          <w:rFonts w:ascii="Times New Roman" w:eastAsia="Times New Roman" w:hAnsi="Times New Roman" w:cs="Times New Roman"/>
          <w:bCs/>
          <w:color w:val="000000" w:themeColor="text1"/>
          <w:sz w:val="17"/>
          <w:szCs w:val="17"/>
          <w:lang w:val="en-IN"/>
        </w:rPr>
        <w:t>Atagul</w:t>
      </w:r>
      <w:proofErr w:type="spellEnd"/>
      <w:r w:rsidRPr="002F7029">
        <w:rPr>
          <w:rFonts w:ascii="Times New Roman" w:eastAsia="Times New Roman" w:hAnsi="Times New Roman" w:cs="Times New Roman"/>
          <w:bCs/>
          <w:color w:val="000000" w:themeColor="text1"/>
          <w:sz w:val="17"/>
          <w:szCs w:val="17"/>
          <w:lang w:val="en-IN"/>
        </w:rPr>
        <w:t xml:space="preserve">, O., Fu, W., &amp; </w:t>
      </w:r>
      <w:proofErr w:type="spellStart"/>
      <w:r w:rsidRPr="002F7029">
        <w:rPr>
          <w:rFonts w:ascii="Times New Roman" w:eastAsia="Times New Roman" w:hAnsi="Times New Roman" w:cs="Times New Roman"/>
          <w:bCs/>
          <w:color w:val="000000" w:themeColor="text1"/>
          <w:sz w:val="17"/>
          <w:szCs w:val="17"/>
          <w:lang w:val="en-IN"/>
        </w:rPr>
        <w:t>Gasic</w:t>
      </w:r>
      <w:proofErr w:type="spellEnd"/>
      <w:r w:rsidRPr="002F7029">
        <w:rPr>
          <w:rFonts w:ascii="Times New Roman" w:eastAsia="Times New Roman" w:hAnsi="Times New Roman" w:cs="Times New Roman"/>
          <w:bCs/>
          <w:color w:val="000000" w:themeColor="text1"/>
          <w:sz w:val="17"/>
          <w:szCs w:val="17"/>
          <w:lang w:val="en-IN"/>
        </w:rPr>
        <w:t xml:space="preserve">, K. (2023). Ppe.CR.1 DNA test for predicting chilling requirement in peach. </w:t>
      </w:r>
      <w:r w:rsidRPr="002F7029">
        <w:rPr>
          <w:rFonts w:ascii="Times New Roman" w:eastAsia="Times New Roman" w:hAnsi="Times New Roman" w:cs="Times New Roman"/>
          <w:bCs/>
          <w:i/>
          <w:iCs/>
          <w:color w:val="000000" w:themeColor="text1"/>
          <w:sz w:val="17"/>
          <w:szCs w:val="17"/>
          <w:lang w:val="en-IN"/>
        </w:rPr>
        <w:t>Scientific Reports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13</w:t>
      </w:r>
      <w:r w:rsidRPr="002F7029">
        <w:rPr>
          <w:rFonts w:ascii="Times New Roman" w:eastAsia="Times New Roman" w:hAnsi="Times New Roman" w:cs="Times New Roman"/>
          <w:bCs/>
          <w:color w:val="000000" w:themeColor="text1"/>
          <w:sz w:val="17"/>
          <w:szCs w:val="17"/>
          <w:lang w:val="en-IN"/>
        </w:rPr>
        <w:t xml:space="preserve">(1), Article 987. </w:t>
      </w:r>
      <w:hyperlink r:id="rId53">
        <w:r w:rsidRPr="002F7029">
          <w:rPr>
            <w:rStyle w:val="Hyperlink"/>
            <w:rFonts w:ascii="Times New Roman" w:eastAsia="Times New Roman" w:hAnsi="Times New Roman" w:cs="Times New Roman"/>
            <w:bCs/>
            <w:color w:val="000000" w:themeColor="text1"/>
            <w:sz w:val="17"/>
            <w:szCs w:val="17"/>
            <w:u w:val="none"/>
            <w:lang w:val="en-IN"/>
          </w:rPr>
          <w:t>https://doi.org/10.1038/s41598-023-27475-w</w:t>
        </w:r>
      </w:hyperlink>
    </w:p>
    <w:p w14:paraId="742833AF"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dos Santos, T. P., Lopes, C. M., Rodrigues, M. L., de Souza, C. R., </w:t>
      </w:r>
      <w:proofErr w:type="spellStart"/>
      <w:r w:rsidRPr="002F7029">
        <w:rPr>
          <w:rFonts w:ascii="Times New Roman" w:eastAsia="Times New Roman" w:hAnsi="Times New Roman" w:cs="Times New Roman"/>
          <w:bCs/>
          <w:color w:val="000000" w:themeColor="text1"/>
          <w:sz w:val="17"/>
          <w:szCs w:val="17"/>
          <w:lang w:val="en-IN"/>
        </w:rPr>
        <w:t>Maroco</w:t>
      </w:r>
      <w:proofErr w:type="spellEnd"/>
      <w:r w:rsidRPr="002F7029">
        <w:rPr>
          <w:rFonts w:ascii="Times New Roman" w:eastAsia="Times New Roman" w:hAnsi="Times New Roman" w:cs="Times New Roman"/>
          <w:bCs/>
          <w:color w:val="000000" w:themeColor="text1"/>
          <w:sz w:val="17"/>
          <w:szCs w:val="17"/>
          <w:lang w:val="en-IN"/>
        </w:rPr>
        <w:t>, J. P., &amp; Pereira, J. S. (2003). Partial rootzone drying: Effects on growth and fruit quality of field-grown grapevines (</w:t>
      </w:r>
      <w:r w:rsidRPr="002F7029">
        <w:rPr>
          <w:rFonts w:ascii="Times New Roman" w:eastAsia="Times New Roman" w:hAnsi="Times New Roman" w:cs="Times New Roman"/>
          <w:bCs/>
          <w:i/>
          <w:iCs/>
          <w:color w:val="000000" w:themeColor="text1"/>
          <w:sz w:val="17"/>
          <w:szCs w:val="17"/>
          <w:lang w:val="en-IN"/>
        </w:rPr>
        <w:t>Vitis vinifera</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Functional Plant Biology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30</w:t>
      </w:r>
      <w:r w:rsidRPr="002F7029">
        <w:rPr>
          <w:rFonts w:ascii="Times New Roman" w:eastAsia="Times New Roman" w:hAnsi="Times New Roman" w:cs="Times New Roman"/>
          <w:bCs/>
          <w:color w:val="000000" w:themeColor="text1"/>
          <w:sz w:val="17"/>
          <w:szCs w:val="17"/>
          <w:lang w:val="en-IN"/>
        </w:rPr>
        <w:t xml:space="preserve">(6), 663–671. </w:t>
      </w:r>
      <w:hyperlink r:id="rId54">
        <w:r w:rsidRPr="002F7029">
          <w:rPr>
            <w:rStyle w:val="Hyperlink"/>
            <w:rFonts w:ascii="Times New Roman" w:eastAsia="Times New Roman" w:hAnsi="Times New Roman" w:cs="Times New Roman"/>
            <w:bCs/>
            <w:color w:val="000000" w:themeColor="text1"/>
            <w:sz w:val="17"/>
            <w:szCs w:val="17"/>
            <w:u w:val="none"/>
            <w:lang w:val="en-IN"/>
          </w:rPr>
          <w:t>https://doi.org/10.1071/fp02180</w:t>
        </w:r>
      </w:hyperlink>
    </w:p>
    <w:p w14:paraId="4553BA42"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Egea, G., Fernández, J. E., &amp; Alcon, F. (2017). Financial assessment of adopting irrigation technology for plant-based regulated deficit irrigation scheduling in super high-density olive orchards. </w:t>
      </w:r>
      <w:r w:rsidRPr="002F7029">
        <w:rPr>
          <w:rFonts w:ascii="Times New Roman" w:eastAsia="Times New Roman" w:hAnsi="Times New Roman" w:cs="Times New Roman"/>
          <w:bCs/>
          <w:i/>
          <w:iCs/>
          <w:color w:val="000000" w:themeColor="text1"/>
          <w:sz w:val="17"/>
          <w:szCs w:val="17"/>
          <w:lang w:val="en-IN"/>
        </w:rPr>
        <w:t>Agricultural Water Management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187</w:t>
      </w:r>
      <w:r w:rsidRPr="002F7029">
        <w:rPr>
          <w:rFonts w:ascii="Times New Roman" w:eastAsia="Times New Roman" w:hAnsi="Times New Roman" w:cs="Times New Roman"/>
          <w:bCs/>
          <w:color w:val="000000" w:themeColor="text1"/>
          <w:sz w:val="17"/>
          <w:szCs w:val="17"/>
          <w:lang w:val="en-IN"/>
        </w:rPr>
        <w:t xml:space="preserve">, 47–56. </w:t>
      </w:r>
      <w:hyperlink r:id="rId55">
        <w:r w:rsidRPr="002F7029">
          <w:rPr>
            <w:rStyle w:val="Hyperlink"/>
            <w:rFonts w:ascii="Times New Roman" w:eastAsia="Times New Roman" w:hAnsi="Times New Roman" w:cs="Times New Roman"/>
            <w:bCs/>
            <w:color w:val="000000" w:themeColor="text1"/>
            <w:sz w:val="17"/>
            <w:szCs w:val="17"/>
            <w:u w:val="none"/>
            <w:lang w:val="en-IN"/>
          </w:rPr>
          <w:t>https://doi.org/10.1016/j.agwat.2017.03.008</w:t>
        </w:r>
      </w:hyperlink>
    </w:p>
    <w:p w14:paraId="381D4F38"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El Jaouhari, N., </w:t>
      </w:r>
      <w:proofErr w:type="spellStart"/>
      <w:r w:rsidRPr="002F7029">
        <w:rPr>
          <w:rFonts w:ascii="Times New Roman" w:eastAsia="Times New Roman" w:hAnsi="Times New Roman" w:cs="Times New Roman"/>
          <w:bCs/>
          <w:color w:val="000000" w:themeColor="text1"/>
          <w:sz w:val="17"/>
          <w:szCs w:val="17"/>
          <w:lang w:val="en-IN"/>
        </w:rPr>
        <w:t>Abouabdillah</w:t>
      </w:r>
      <w:proofErr w:type="spellEnd"/>
      <w:r w:rsidRPr="002F7029">
        <w:rPr>
          <w:rFonts w:ascii="Times New Roman" w:eastAsia="Times New Roman" w:hAnsi="Times New Roman" w:cs="Times New Roman"/>
          <w:bCs/>
          <w:color w:val="000000" w:themeColor="text1"/>
          <w:sz w:val="17"/>
          <w:szCs w:val="17"/>
          <w:lang w:val="en-IN"/>
        </w:rPr>
        <w:t xml:space="preserve">, A., </w:t>
      </w:r>
      <w:proofErr w:type="spellStart"/>
      <w:r w:rsidRPr="002F7029">
        <w:rPr>
          <w:rFonts w:ascii="Times New Roman" w:eastAsia="Times New Roman" w:hAnsi="Times New Roman" w:cs="Times New Roman"/>
          <w:bCs/>
          <w:color w:val="000000" w:themeColor="text1"/>
          <w:sz w:val="17"/>
          <w:szCs w:val="17"/>
          <w:lang w:val="en-IN"/>
        </w:rPr>
        <w:t>Bouabid</w:t>
      </w:r>
      <w:proofErr w:type="spellEnd"/>
      <w:r w:rsidRPr="002F7029">
        <w:rPr>
          <w:rFonts w:ascii="Times New Roman" w:eastAsia="Times New Roman" w:hAnsi="Times New Roman" w:cs="Times New Roman"/>
          <w:bCs/>
          <w:color w:val="000000" w:themeColor="text1"/>
          <w:sz w:val="17"/>
          <w:szCs w:val="17"/>
          <w:lang w:val="en-IN"/>
        </w:rPr>
        <w:t xml:space="preserve">, R., </w:t>
      </w:r>
      <w:proofErr w:type="spellStart"/>
      <w:r w:rsidRPr="002F7029">
        <w:rPr>
          <w:rFonts w:ascii="Times New Roman" w:eastAsia="Times New Roman" w:hAnsi="Times New Roman" w:cs="Times New Roman"/>
          <w:bCs/>
          <w:color w:val="000000" w:themeColor="text1"/>
          <w:sz w:val="17"/>
          <w:szCs w:val="17"/>
          <w:lang w:val="en-IN"/>
        </w:rPr>
        <w:t>Bourioug</w:t>
      </w:r>
      <w:proofErr w:type="spellEnd"/>
      <w:r w:rsidRPr="002F7029">
        <w:rPr>
          <w:rFonts w:ascii="Times New Roman" w:eastAsia="Times New Roman" w:hAnsi="Times New Roman" w:cs="Times New Roman"/>
          <w:bCs/>
          <w:color w:val="000000" w:themeColor="text1"/>
          <w:sz w:val="17"/>
          <w:szCs w:val="17"/>
          <w:lang w:val="en-IN"/>
        </w:rPr>
        <w:t xml:space="preserve">, M., Aleya, L., &amp; Chaoui, M. (2018). Assessment of sustainable deficit irrigation in a Moroccan apple orchard as a climate change adaptation strategy. </w:t>
      </w:r>
      <w:r w:rsidRPr="002F7029">
        <w:rPr>
          <w:rFonts w:ascii="Times New Roman" w:eastAsia="Times New Roman" w:hAnsi="Times New Roman" w:cs="Times New Roman"/>
          <w:bCs/>
          <w:i/>
          <w:iCs/>
          <w:color w:val="000000" w:themeColor="text1"/>
          <w:sz w:val="17"/>
          <w:szCs w:val="17"/>
          <w:lang w:val="en-IN"/>
        </w:rPr>
        <w:t>Science of the Total Environment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642</w:t>
      </w:r>
      <w:r w:rsidRPr="002F7029">
        <w:rPr>
          <w:rFonts w:ascii="Times New Roman" w:eastAsia="Times New Roman" w:hAnsi="Times New Roman" w:cs="Times New Roman"/>
          <w:bCs/>
          <w:color w:val="000000" w:themeColor="text1"/>
          <w:sz w:val="17"/>
          <w:szCs w:val="17"/>
          <w:lang w:val="en-IN"/>
        </w:rPr>
        <w:t xml:space="preserve">, 574–581. </w:t>
      </w:r>
      <w:hyperlink r:id="rId56">
        <w:r w:rsidRPr="002F7029">
          <w:rPr>
            <w:rStyle w:val="Hyperlink"/>
            <w:rFonts w:ascii="Times New Roman" w:eastAsia="Times New Roman" w:hAnsi="Times New Roman" w:cs="Times New Roman"/>
            <w:bCs/>
            <w:color w:val="000000" w:themeColor="text1"/>
            <w:sz w:val="17"/>
            <w:szCs w:val="17"/>
            <w:u w:val="none"/>
            <w:lang w:val="en-IN"/>
          </w:rPr>
          <w:t>https://doi.org/10.1016/j.scitotenv.2018.06.108</w:t>
        </w:r>
      </w:hyperlink>
    </w:p>
    <w:p w14:paraId="5774D7A2"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nl-BE"/>
        </w:rPr>
        <w:t xml:space="preserve">Erel, R., Eppel, A., Yermiyahu, U., Ben-Gal, A., Levy, G., Zipori, I., Schaumann, G. E., Mayer, O., &amp; Dag, A. (2019). </w:t>
      </w:r>
      <w:r w:rsidRPr="002F7029">
        <w:rPr>
          <w:rFonts w:ascii="Times New Roman" w:eastAsia="Times New Roman" w:hAnsi="Times New Roman" w:cs="Times New Roman"/>
          <w:bCs/>
          <w:color w:val="000000" w:themeColor="text1"/>
          <w:sz w:val="17"/>
          <w:szCs w:val="17"/>
          <w:lang w:val="en-IN"/>
        </w:rPr>
        <w:t>Long-term irrigation with reclaimed wastewater: Implications on nutrient management, soil chemistry and olive (</w:t>
      </w:r>
      <w:r w:rsidRPr="002F7029">
        <w:rPr>
          <w:rFonts w:ascii="Times New Roman" w:eastAsia="Times New Roman" w:hAnsi="Times New Roman" w:cs="Times New Roman"/>
          <w:bCs/>
          <w:i/>
          <w:iCs/>
          <w:color w:val="000000" w:themeColor="text1"/>
          <w:sz w:val="17"/>
          <w:szCs w:val="17"/>
          <w:lang w:val="en-IN"/>
        </w:rPr>
        <w:t>Olea europaea</w:t>
      </w:r>
      <w:r w:rsidRPr="002F7029">
        <w:rPr>
          <w:rFonts w:ascii="Times New Roman" w:eastAsia="Times New Roman" w:hAnsi="Times New Roman" w:cs="Times New Roman"/>
          <w:bCs/>
          <w:color w:val="000000" w:themeColor="text1"/>
          <w:sz w:val="17"/>
          <w:szCs w:val="17"/>
          <w:lang w:val="en-IN"/>
        </w:rPr>
        <w:t xml:space="preserve"> L.) performance. </w:t>
      </w:r>
      <w:r w:rsidRPr="002F7029">
        <w:rPr>
          <w:rFonts w:ascii="Times New Roman" w:eastAsia="Times New Roman" w:hAnsi="Times New Roman" w:cs="Times New Roman"/>
          <w:bCs/>
          <w:i/>
          <w:iCs/>
          <w:color w:val="000000" w:themeColor="text1"/>
          <w:sz w:val="17"/>
          <w:szCs w:val="17"/>
          <w:lang w:val="en-IN"/>
        </w:rPr>
        <w:t>Agricultural Water Management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213</w:t>
      </w:r>
      <w:r w:rsidRPr="002F7029">
        <w:rPr>
          <w:rFonts w:ascii="Times New Roman" w:eastAsia="Times New Roman" w:hAnsi="Times New Roman" w:cs="Times New Roman"/>
          <w:bCs/>
          <w:color w:val="000000" w:themeColor="text1"/>
          <w:sz w:val="17"/>
          <w:szCs w:val="17"/>
          <w:lang w:val="en-IN"/>
        </w:rPr>
        <w:t xml:space="preserve">, 324–335. </w:t>
      </w:r>
      <w:hyperlink r:id="rId57">
        <w:r w:rsidRPr="002F7029">
          <w:rPr>
            <w:rStyle w:val="Hyperlink"/>
            <w:rFonts w:ascii="Times New Roman" w:eastAsia="Times New Roman" w:hAnsi="Times New Roman" w:cs="Times New Roman"/>
            <w:bCs/>
            <w:color w:val="000000" w:themeColor="text1"/>
            <w:sz w:val="17"/>
            <w:szCs w:val="17"/>
            <w:u w:val="none"/>
            <w:lang w:val="en-IN"/>
          </w:rPr>
          <w:t>https://doi.org/10.1016/j.agwat.2018.10.033</w:t>
        </w:r>
      </w:hyperlink>
    </w:p>
    <w:p w14:paraId="388135D9"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Fadón</w:t>
      </w:r>
      <w:proofErr w:type="spellEnd"/>
      <w:r w:rsidRPr="002F7029">
        <w:rPr>
          <w:rFonts w:ascii="Times New Roman" w:eastAsia="Times New Roman" w:hAnsi="Times New Roman" w:cs="Times New Roman"/>
          <w:bCs/>
          <w:color w:val="000000" w:themeColor="text1"/>
          <w:sz w:val="17"/>
          <w:szCs w:val="17"/>
          <w:lang w:val="en-IN"/>
        </w:rPr>
        <w:t>, E., Herrera, S., Guerrero, B., Guerra, M., &amp; Rodrigo, J. (2020). Chilling and heat requirements of temperate stone fruit trees (</w:t>
      </w:r>
      <w:r w:rsidRPr="002F7029">
        <w:rPr>
          <w:rFonts w:ascii="Times New Roman" w:eastAsia="Times New Roman" w:hAnsi="Times New Roman" w:cs="Times New Roman"/>
          <w:bCs/>
          <w:i/>
          <w:iCs/>
          <w:color w:val="000000" w:themeColor="text1"/>
          <w:sz w:val="17"/>
          <w:szCs w:val="17"/>
          <w:lang w:val="en-IN"/>
        </w:rPr>
        <w:t>Prunus</w:t>
      </w:r>
      <w:r w:rsidRPr="002F7029">
        <w:rPr>
          <w:rFonts w:ascii="Times New Roman" w:eastAsia="Times New Roman" w:hAnsi="Times New Roman" w:cs="Times New Roman"/>
          <w:bCs/>
          <w:color w:val="000000" w:themeColor="text1"/>
          <w:sz w:val="17"/>
          <w:szCs w:val="17"/>
          <w:lang w:val="en-IN"/>
        </w:rPr>
        <w:t xml:space="preserve"> sp.). </w:t>
      </w:r>
      <w:r w:rsidRPr="002F7029">
        <w:rPr>
          <w:rFonts w:ascii="Times New Roman" w:eastAsia="Times New Roman" w:hAnsi="Times New Roman" w:cs="Times New Roman"/>
          <w:bCs/>
          <w:i/>
          <w:iCs/>
          <w:color w:val="000000" w:themeColor="text1"/>
          <w:sz w:val="17"/>
          <w:szCs w:val="17"/>
          <w:lang w:val="en-IN"/>
        </w:rPr>
        <w:t>Agronomy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10</w:t>
      </w:r>
      <w:r w:rsidRPr="002F7029">
        <w:rPr>
          <w:rFonts w:ascii="Times New Roman" w:eastAsia="Times New Roman" w:hAnsi="Times New Roman" w:cs="Times New Roman"/>
          <w:bCs/>
          <w:color w:val="000000" w:themeColor="text1"/>
          <w:sz w:val="17"/>
          <w:szCs w:val="17"/>
          <w:lang w:val="en-IN"/>
        </w:rPr>
        <w:t xml:space="preserve">(3), Article 409. </w:t>
      </w:r>
      <w:hyperlink r:id="rId58">
        <w:r w:rsidRPr="002F7029">
          <w:rPr>
            <w:rStyle w:val="Hyperlink"/>
            <w:rFonts w:ascii="Times New Roman" w:eastAsia="Times New Roman" w:hAnsi="Times New Roman" w:cs="Times New Roman"/>
            <w:bCs/>
            <w:color w:val="000000" w:themeColor="text1"/>
            <w:sz w:val="17"/>
            <w:szCs w:val="17"/>
            <w:u w:val="none"/>
            <w:lang w:val="en-IN"/>
          </w:rPr>
          <w:t>https://doi.org/10.3390/agronomy10030409</w:t>
        </w:r>
      </w:hyperlink>
    </w:p>
    <w:p w14:paraId="4FFB910F"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Falavigna</w:t>
      </w:r>
      <w:proofErr w:type="spellEnd"/>
      <w:r w:rsidRPr="002F7029">
        <w:rPr>
          <w:rFonts w:ascii="Times New Roman" w:eastAsia="Times New Roman" w:hAnsi="Times New Roman" w:cs="Times New Roman"/>
          <w:bCs/>
          <w:color w:val="000000" w:themeColor="text1"/>
          <w:sz w:val="17"/>
          <w:szCs w:val="17"/>
          <w:lang w:val="en-IN"/>
        </w:rPr>
        <w:t xml:space="preserve">, V. S., Guitton, B., Costes, E., &amp; Andrés, F. (2019). I want to (bud) break free: The potential role of </w:t>
      </w:r>
      <w:r w:rsidRPr="002F7029">
        <w:rPr>
          <w:rFonts w:ascii="Times New Roman" w:eastAsia="Times New Roman" w:hAnsi="Times New Roman" w:cs="Times New Roman"/>
          <w:bCs/>
          <w:i/>
          <w:iCs/>
          <w:color w:val="000000" w:themeColor="text1"/>
          <w:sz w:val="17"/>
          <w:szCs w:val="17"/>
          <w:lang w:val="en-IN"/>
        </w:rPr>
        <w:t>DAM</w:t>
      </w:r>
      <w:r w:rsidRPr="002F7029">
        <w:rPr>
          <w:rFonts w:ascii="Times New Roman" w:eastAsia="Times New Roman" w:hAnsi="Times New Roman" w:cs="Times New Roman"/>
          <w:bCs/>
          <w:color w:val="000000" w:themeColor="text1"/>
          <w:sz w:val="17"/>
          <w:szCs w:val="17"/>
          <w:lang w:val="en-IN"/>
        </w:rPr>
        <w:t xml:space="preserve"> and </w:t>
      </w:r>
      <w:r w:rsidRPr="002F7029">
        <w:rPr>
          <w:rFonts w:ascii="Times New Roman" w:eastAsia="Times New Roman" w:hAnsi="Times New Roman" w:cs="Times New Roman"/>
          <w:bCs/>
          <w:i/>
          <w:iCs/>
          <w:color w:val="000000" w:themeColor="text1"/>
          <w:sz w:val="17"/>
          <w:szCs w:val="17"/>
          <w:lang w:val="en-IN"/>
        </w:rPr>
        <w:t>SVP</w:t>
      </w:r>
      <w:r w:rsidRPr="002F7029">
        <w:rPr>
          <w:rFonts w:ascii="Times New Roman" w:eastAsia="Times New Roman" w:hAnsi="Times New Roman" w:cs="Times New Roman"/>
          <w:bCs/>
          <w:color w:val="000000" w:themeColor="text1"/>
          <w:sz w:val="17"/>
          <w:szCs w:val="17"/>
          <w:lang w:val="en-IN"/>
        </w:rPr>
        <w:t xml:space="preserve">-like genes in regulating dormancy cycle in temperate fruit trees. </w:t>
      </w:r>
      <w:r w:rsidRPr="002F7029">
        <w:rPr>
          <w:rFonts w:ascii="Times New Roman" w:eastAsia="Times New Roman" w:hAnsi="Times New Roman" w:cs="Times New Roman"/>
          <w:bCs/>
          <w:i/>
          <w:iCs/>
          <w:color w:val="000000" w:themeColor="text1"/>
          <w:sz w:val="17"/>
          <w:szCs w:val="17"/>
          <w:lang w:val="en-IN"/>
        </w:rPr>
        <w:t>Frontiers in Plant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9</w:t>
      </w:r>
      <w:r w:rsidRPr="002F7029">
        <w:rPr>
          <w:rFonts w:ascii="Times New Roman" w:eastAsia="Times New Roman" w:hAnsi="Times New Roman" w:cs="Times New Roman"/>
          <w:bCs/>
          <w:color w:val="000000" w:themeColor="text1"/>
          <w:sz w:val="17"/>
          <w:szCs w:val="17"/>
          <w:lang w:val="en-IN"/>
        </w:rPr>
        <w:t xml:space="preserve">, Article 1990. </w:t>
      </w:r>
      <w:hyperlink r:id="rId59">
        <w:r w:rsidRPr="002F7029">
          <w:rPr>
            <w:rStyle w:val="Hyperlink"/>
            <w:rFonts w:ascii="Times New Roman" w:eastAsia="Times New Roman" w:hAnsi="Times New Roman" w:cs="Times New Roman"/>
            <w:bCs/>
            <w:color w:val="000000" w:themeColor="text1"/>
            <w:sz w:val="17"/>
            <w:szCs w:val="17"/>
            <w:u w:val="none"/>
            <w:lang w:val="en-IN"/>
          </w:rPr>
          <w:t>https://doi.org/10.3389/fpls.2018.01990</w:t>
        </w:r>
      </w:hyperlink>
    </w:p>
    <w:p w14:paraId="00F8D461"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Fallahi, E., Fallahi, B., &amp; </w:t>
      </w:r>
      <w:proofErr w:type="spellStart"/>
      <w:r w:rsidRPr="002F7029">
        <w:rPr>
          <w:rFonts w:ascii="Times New Roman" w:eastAsia="Times New Roman" w:hAnsi="Times New Roman" w:cs="Times New Roman"/>
          <w:bCs/>
          <w:color w:val="000000" w:themeColor="text1"/>
          <w:sz w:val="17"/>
          <w:szCs w:val="17"/>
          <w:lang w:val="en-IN"/>
        </w:rPr>
        <w:t>Shafii</w:t>
      </w:r>
      <w:proofErr w:type="spellEnd"/>
      <w:r w:rsidRPr="002F7029">
        <w:rPr>
          <w:rFonts w:ascii="Times New Roman" w:eastAsia="Times New Roman" w:hAnsi="Times New Roman" w:cs="Times New Roman"/>
          <w:bCs/>
          <w:color w:val="000000" w:themeColor="text1"/>
          <w:sz w:val="17"/>
          <w:szCs w:val="17"/>
          <w:lang w:val="en-IN"/>
        </w:rPr>
        <w:t xml:space="preserve">, B. (2013). Irrigation and rootstock influence on water use, tree growth, yield, and fruit quality at harvest at different ages of trees in ‘Pacific Gala’ apple. </w:t>
      </w:r>
      <w:proofErr w:type="spellStart"/>
      <w:r w:rsidRPr="002F7029">
        <w:rPr>
          <w:rFonts w:ascii="Times New Roman" w:eastAsia="Times New Roman" w:hAnsi="Times New Roman" w:cs="Times New Roman"/>
          <w:bCs/>
          <w:i/>
          <w:iCs/>
          <w:color w:val="000000" w:themeColor="text1"/>
          <w:sz w:val="17"/>
          <w:szCs w:val="17"/>
          <w:lang w:val="en-IN"/>
        </w:rPr>
        <w:t>HortScience</w:t>
      </w:r>
      <w:proofErr w:type="spellEnd"/>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48</w:t>
      </w:r>
      <w:r w:rsidRPr="002F7029">
        <w:rPr>
          <w:rFonts w:ascii="Times New Roman" w:eastAsia="Times New Roman" w:hAnsi="Times New Roman" w:cs="Times New Roman"/>
          <w:bCs/>
          <w:color w:val="000000" w:themeColor="text1"/>
          <w:sz w:val="17"/>
          <w:szCs w:val="17"/>
          <w:lang w:val="en-IN"/>
        </w:rPr>
        <w:t xml:space="preserve">(5), 588–593. </w:t>
      </w:r>
      <w:hyperlink r:id="rId60">
        <w:r w:rsidRPr="002F7029">
          <w:rPr>
            <w:rStyle w:val="Hyperlink"/>
            <w:rFonts w:ascii="Times New Roman" w:eastAsia="Times New Roman" w:hAnsi="Times New Roman" w:cs="Times New Roman"/>
            <w:bCs/>
            <w:color w:val="000000" w:themeColor="text1"/>
            <w:sz w:val="17"/>
            <w:szCs w:val="17"/>
            <w:u w:val="none"/>
            <w:lang w:val="en-IN"/>
          </w:rPr>
          <w:t>https://doi.org/10.21273/hortsci.48.5.588</w:t>
        </w:r>
      </w:hyperlink>
    </w:p>
    <w:p w14:paraId="64F83E3D"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Fan, S., Bielenberg, D. G., Zhebentyayeva, T. N., Reighard, G. L., Okie, W. R., Holland, D., &amp; Abbott, A. G. (2010). Mapping quantitative trait loci associated with chilling requirement, heat requirement and bloom date in peach (</w:t>
      </w:r>
      <w:r w:rsidRPr="002F7029">
        <w:rPr>
          <w:rFonts w:ascii="Times New Roman" w:eastAsia="Times New Roman" w:hAnsi="Times New Roman" w:cs="Times New Roman"/>
          <w:bCs/>
          <w:i/>
          <w:iCs/>
          <w:color w:val="000000" w:themeColor="text1"/>
          <w:sz w:val="17"/>
          <w:szCs w:val="17"/>
          <w:lang w:val="en-IN"/>
        </w:rPr>
        <w:t>Prunus persica</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New Phytologist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185</w:t>
      </w:r>
      <w:r w:rsidRPr="002F7029">
        <w:rPr>
          <w:rFonts w:ascii="Times New Roman" w:eastAsia="Times New Roman" w:hAnsi="Times New Roman" w:cs="Times New Roman"/>
          <w:bCs/>
          <w:color w:val="000000" w:themeColor="text1"/>
          <w:sz w:val="17"/>
          <w:szCs w:val="17"/>
          <w:lang w:val="en-IN"/>
        </w:rPr>
        <w:t xml:space="preserve">(4), 917–930. </w:t>
      </w:r>
      <w:hyperlink r:id="rId61">
        <w:r w:rsidRPr="002F7029">
          <w:rPr>
            <w:rStyle w:val="Hyperlink"/>
            <w:rFonts w:ascii="Times New Roman" w:eastAsia="Times New Roman" w:hAnsi="Times New Roman" w:cs="Times New Roman"/>
            <w:bCs/>
            <w:color w:val="000000" w:themeColor="text1"/>
            <w:sz w:val="17"/>
            <w:szCs w:val="17"/>
            <w:u w:val="none"/>
            <w:lang w:val="en-IN"/>
          </w:rPr>
          <w:t>https://doi.org/10.1111/j.1469-8137.2009.03119.x</w:t>
        </w:r>
      </w:hyperlink>
    </w:p>
    <w:p w14:paraId="2278A26C"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Fereres</w:t>
      </w:r>
      <w:proofErr w:type="spellEnd"/>
      <w:r w:rsidRPr="002F7029">
        <w:rPr>
          <w:rFonts w:ascii="Times New Roman" w:eastAsia="Times New Roman" w:hAnsi="Times New Roman" w:cs="Times New Roman"/>
          <w:bCs/>
          <w:color w:val="000000" w:themeColor="text1"/>
          <w:sz w:val="17"/>
          <w:szCs w:val="17"/>
          <w:lang w:val="en-IN"/>
        </w:rPr>
        <w:t xml:space="preserve">, E., &amp; Soriano, M. A. (2007). Deficit irrigation for reducing agricultural water use. </w:t>
      </w:r>
      <w:r w:rsidRPr="002F7029">
        <w:rPr>
          <w:rFonts w:ascii="Times New Roman" w:eastAsia="Times New Roman" w:hAnsi="Times New Roman" w:cs="Times New Roman"/>
          <w:bCs/>
          <w:i/>
          <w:iCs/>
          <w:color w:val="000000" w:themeColor="text1"/>
          <w:sz w:val="17"/>
          <w:szCs w:val="17"/>
          <w:lang w:val="en-IN"/>
        </w:rPr>
        <w:t>Journal of Experimental Botany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58</w:t>
      </w:r>
      <w:r w:rsidRPr="002F7029">
        <w:rPr>
          <w:rFonts w:ascii="Times New Roman" w:eastAsia="Times New Roman" w:hAnsi="Times New Roman" w:cs="Times New Roman"/>
          <w:bCs/>
          <w:color w:val="000000" w:themeColor="text1"/>
          <w:sz w:val="17"/>
          <w:szCs w:val="17"/>
          <w:lang w:val="en-IN"/>
        </w:rPr>
        <w:t xml:space="preserve">(2), 147–159. </w:t>
      </w:r>
      <w:hyperlink r:id="rId62">
        <w:r w:rsidRPr="002F7029">
          <w:rPr>
            <w:rStyle w:val="Hyperlink"/>
            <w:rFonts w:ascii="Times New Roman" w:eastAsia="Times New Roman" w:hAnsi="Times New Roman" w:cs="Times New Roman"/>
            <w:bCs/>
            <w:color w:val="000000" w:themeColor="text1"/>
            <w:sz w:val="17"/>
            <w:szCs w:val="17"/>
            <w:u w:val="none"/>
            <w:lang w:val="en-IN"/>
          </w:rPr>
          <w:t>https://doi.org/10.1093/jxb/erl165</w:t>
        </w:r>
      </w:hyperlink>
    </w:p>
    <w:p w14:paraId="08FBDCA2"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Fernandez, E., </w:t>
      </w:r>
      <w:proofErr w:type="spellStart"/>
      <w:r w:rsidRPr="002F7029">
        <w:rPr>
          <w:rFonts w:ascii="Times New Roman" w:eastAsia="Times New Roman" w:hAnsi="Times New Roman" w:cs="Times New Roman"/>
          <w:bCs/>
          <w:color w:val="000000" w:themeColor="text1"/>
          <w:sz w:val="17"/>
          <w:szCs w:val="17"/>
          <w:lang w:val="en-IN"/>
        </w:rPr>
        <w:t>Mojahid</w:t>
      </w:r>
      <w:proofErr w:type="spellEnd"/>
      <w:r w:rsidRPr="002F7029">
        <w:rPr>
          <w:rFonts w:ascii="Times New Roman" w:eastAsia="Times New Roman" w:hAnsi="Times New Roman" w:cs="Times New Roman"/>
          <w:bCs/>
          <w:color w:val="000000" w:themeColor="text1"/>
          <w:sz w:val="17"/>
          <w:szCs w:val="17"/>
          <w:lang w:val="en-IN"/>
        </w:rPr>
        <w:t xml:space="preserve">, H., </w:t>
      </w:r>
      <w:proofErr w:type="spellStart"/>
      <w:r w:rsidRPr="002F7029">
        <w:rPr>
          <w:rFonts w:ascii="Times New Roman" w:eastAsia="Times New Roman" w:hAnsi="Times New Roman" w:cs="Times New Roman"/>
          <w:bCs/>
          <w:color w:val="000000" w:themeColor="text1"/>
          <w:sz w:val="17"/>
          <w:szCs w:val="17"/>
          <w:lang w:val="en-IN"/>
        </w:rPr>
        <w:t>Fadón</w:t>
      </w:r>
      <w:proofErr w:type="spellEnd"/>
      <w:r w:rsidRPr="002F7029">
        <w:rPr>
          <w:rFonts w:ascii="Times New Roman" w:eastAsia="Times New Roman" w:hAnsi="Times New Roman" w:cs="Times New Roman"/>
          <w:bCs/>
          <w:color w:val="000000" w:themeColor="text1"/>
          <w:sz w:val="17"/>
          <w:szCs w:val="17"/>
          <w:lang w:val="en-IN"/>
        </w:rPr>
        <w:t xml:space="preserve">, E., Rodrigo, J., Ruiz, D., Egea, J. A., Ben Mimoun, M., </w:t>
      </w:r>
      <w:proofErr w:type="spellStart"/>
      <w:r w:rsidRPr="002F7029">
        <w:rPr>
          <w:rFonts w:ascii="Times New Roman" w:eastAsia="Times New Roman" w:hAnsi="Times New Roman" w:cs="Times New Roman"/>
          <w:bCs/>
          <w:color w:val="000000" w:themeColor="text1"/>
          <w:sz w:val="17"/>
          <w:szCs w:val="17"/>
          <w:lang w:val="en-IN"/>
        </w:rPr>
        <w:t>Kodad</w:t>
      </w:r>
      <w:proofErr w:type="spellEnd"/>
      <w:r w:rsidRPr="002F7029">
        <w:rPr>
          <w:rFonts w:ascii="Times New Roman" w:eastAsia="Times New Roman" w:hAnsi="Times New Roman" w:cs="Times New Roman"/>
          <w:bCs/>
          <w:color w:val="000000" w:themeColor="text1"/>
          <w:sz w:val="17"/>
          <w:szCs w:val="17"/>
          <w:lang w:val="en-IN"/>
        </w:rPr>
        <w:t xml:space="preserve">, O., El </w:t>
      </w:r>
      <w:proofErr w:type="spellStart"/>
      <w:r w:rsidRPr="002F7029">
        <w:rPr>
          <w:rFonts w:ascii="Times New Roman" w:eastAsia="Times New Roman" w:hAnsi="Times New Roman" w:cs="Times New Roman"/>
          <w:bCs/>
          <w:color w:val="000000" w:themeColor="text1"/>
          <w:sz w:val="17"/>
          <w:szCs w:val="17"/>
          <w:lang w:val="en-IN"/>
        </w:rPr>
        <w:t>Yaacoubi</w:t>
      </w:r>
      <w:proofErr w:type="spellEnd"/>
      <w:r w:rsidRPr="002F7029">
        <w:rPr>
          <w:rFonts w:ascii="Times New Roman" w:eastAsia="Times New Roman" w:hAnsi="Times New Roman" w:cs="Times New Roman"/>
          <w:bCs/>
          <w:color w:val="000000" w:themeColor="text1"/>
          <w:sz w:val="17"/>
          <w:szCs w:val="17"/>
          <w:lang w:val="en-IN"/>
        </w:rPr>
        <w:t xml:space="preserve">, A., </w:t>
      </w:r>
      <w:proofErr w:type="spellStart"/>
      <w:r w:rsidRPr="002F7029">
        <w:rPr>
          <w:rFonts w:ascii="Times New Roman" w:eastAsia="Times New Roman" w:hAnsi="Times New Roman" w:cs="Times New Roman"/>
          <w:bCs/>
          <w:color w:val="000000" w:themeColor="text1"/>
          <w:sz w:val="17"/>
          <w:szCs w:val="17"/>
          <w:lang w:val="en-IN"/>
        </w:rPr>
        <w:t>Ghrab</w:t>
      </w:r>
      <w:proofErr w:type="spellEnd"/>
      <w:r w:rsidRPr="002F7029">
        <w:rPr>
          <w:rFonts w:ascii="Times New Roman" w:eastAsia="Times New Roman" w:hAnsi="Times New Roman" w:cs="Times New Roman"/>
          <w:bCs/>
          <w:color w:val="000000" w:themeColor="text1"/>
          <w:sz w:val="17"/>
          <w:szCs w:val="17"/>
          <w:lang w:val="en-IN"/>
        </w:rPr>
        <w:t xml:space="preserve">, M., Egea, J., Benmoussa, H., </w:t>
      </w:r>
      <w:proofErr w:type="spellStart"/>
      <w:r w:rsidRPr="002F7029">
        <w:rPr>
          <w:rFonts w:ascii="Times New Roman" w:eastAsia="Times New Roman" w:hAnsi="Times New Roman" w:cs="Times New Roman"/>
          <w:bCs/>
          <w:color w:val="000000" w:themeColor="text1"/>
          <w:sz w:val="17"/>
          <w:szCs w:val="17"/>
          <w:lang w:val="en-IN"/>
        </w:rPr>
        <w:t>Borgini</w:t>
      </w:r>
      <w:proofErr w:type="spellEnd"/>
      <w:r w:rsidRPr="002F7029">
        <w:rPr>
          <w:rFonts w:ascii="Times New Roman" w:eastAsia="Times New Roman" w:hAnsi="Times New Roman" w:cs="Times New Roman"/>
          <w:bCs/>
          <w:color w:val="000000" w:themeColor="text1"/>
          <w:sz w:val="17"/>
          <w:szCs w:val="17"/>
          <w:lang w:val="en-IN"/>
        </w:rPr>
        <w:t xml:space="preserve">, N., Elloumi, O., &amp; </w:t>
      </w:r>
      <w:proofErr w:type="spellStart"/>
      <w:r w:rsidRPr="002F7029">
        <w:rPr>
          <w:rFonts w:ascii="Times New Roman" w:eastAsia="Times New Roman" w:hAnsi="Times New Roman" w:cs="Times New Roman"/>
          <w:bCs/>
          <w:color w:val="000000" w:themeColor="text1"/>
          <w:sz w:val="17"/>
          <w:szCs w:val="17"/>
          <w:lang w:val="en-IN"/>
        </w:rPr>
        <w:t>Luedeling</w:t>
      </w:r>
      <w:proofErr w:type="spellEnd"/>
      <w:r w:rsidRPr="002F7029">
        <w:rPr>
          <w:rFonts w:ascii="Times New Roman" w:eastAsia="Times New Roman" w:hAnsi="Times New Roman" w:cs="Times New Roman"/>
          <w:bCs/>
          <w:color w:val="000000" w:themeColor="text1"/>
          <w:sz w:val="17"/>
          <w:szCs w:val="17"/>
          <w:lang w:val="en-IN"/>
        </w:rPr>
        <w:t xml:space="preserve">, E. (2023). Climate change impacts on winter chill in Mediterranean temperate fruit orchards. </w:t>
      </w:r>
      <w:r w:rsidRPr="002F7029">
        <w:rPr>
          <w:rFonts w:ascii="Times New Roman" w:eastAsia="Times New Roman" w:hAnsi="Times New Roman" w:cs="Times New Roman"/>
          <w:bCs/>
          <w:i/>
          <w:iCs/>
          <w:color w:val="000000" w:themeColor="text1"/>
          <w:sz w:val="17"/>
          <w:szCs w:val="17"/>
          <w:lang w:val="en-IN"/>
        </w:rPr>
        <w:t>Regional Environmental Change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23</w:t>
      </w:r>
      <w:r w:rsidRPr="002F7029">
        <w:rPr>
          <w:rFonts w:ascii="Times New Roman" w:eastAsia="Times New Roman" w:hAnsi="Times New Roman" w:cs="Times New Roman"/>
          <w:bCs/>
          <w:color w:val="000000" w:themeColor="text1"/>
          <w:sz w:val="17"/>
          <w:szCs w:val="17"/>
          <w:lang w:val="en-IN"/>
        </w:rPr>
        <w:t xml:space="preserve">(1), Article 7. </w:t>
      </w:r>
      <w:hyperlink r:id="rId63">
        <w:r w:rsidRPr="002F7029">
          <w:rPr>
            <w:rStyle w:val="Hyperlink"/>
            <w:rFonts w:ascii="Times New Roman" w:eastAsia="Times New Roman" w:hAnsi="Times New Roman" w:cs="Times New Roman"/>
            <w:bCs/>
            <w:color w:val="000000" w:themeColor="text1"/>
            <w:sz w:val="17"/>
            <w:szCs w:val="17"/>
            <w:u w:val="none"/>
            <w:lang w:val="en-IN"/>
          </w:rPr>
          <w:t>https://doi.org/10.1007/s10113-022-02006-x</w:t>
        </w:r>
      </w:hyperlink>
    </w:p>
    <w:p w14:paraId="414BECB2"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Fernandez, E., Whitney, C., Cuneo, I. F., &amp; </w:t>
      </w:r>
      <w:proofErr w:type="spellStart"/>
      <w:r w:rsidRPr="002F7029">
        <w:rPr>
          <w:rFonts w:ascii="Times New Roman" w:eastAsia="Times New Roman" w:hAnsi="Times New Roman" w:cs="Times New Roman"/>
          <w:bCs/>
          <w:color w:val="000000" w:themeColor="text1"/>
          <w:sz w:val="17"/>
          <w:szCs w:val="17"/>
          <w:lang w:val="en-IN"/>
        </w:rPr>
        <w:t>Luedeling</w:t>
      </w:r>
      <w:proofErr w:type="spellEnd"/>
      <w:r w:rsidRPr="002F7029">
        <w:rPr>
          <w:rFonts w:ascii="Times New Roman" w:eastAsia="Times New Roman" w:hAnsi="Times New Roman" w:cs="Times New Roman"/>
          <w:bCs/>
          <w:color w:val="000000" w:themeColor="text1"/>
          <w:sz w:val="17"/>
          <w:szCs w:val="17"/>
          <w:lang w:val="en-IN"/>
        </w:rPr>
        <w:t xml:space="preserve">, E. (2020). Prospects of decreasing winter chill for deciduous fruit production in Chile throughout the 21st century. </w:t>
      </w:r>
      <w:r w:rsidRPr="002F7029">
        <w:rPr>
          <w:rFonts w:ascii="Times New Roman" w:eastAsia="Times New Roman" w:hAnsi="Times New Roman" w:cs="Times New Roman"/>
          <w:bCs/>
          <w:i/>
          <w:iCs/>
          <w:color w:val="000000" w:themeColor="text1"/>
          <w:sz w:val="17"/>
          <w:szCs w:val="17"/>
          <w:lang w:val="en-IN"/>
        </w:rPr>
        <w:t>Climatic Change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159</w:t>
      </w:r>
      <w:r w:rsidRPr="002F7029">
        <w:rPr>
          <w:rFonts w:ascii="Times New Roman" w:eastAsia="Times New Roman" w:hAnsi="Times New Roman" w:cs="Times New Roman"/>
          <w:bCs/>
          <w:color w:val="000000" w:themeColor="text1"/>
          <w:sz w:val="17"/>
          <w:szCs w:val="17"/>
          <w:lang w:val="en-IN"/>
        </w:rPr>
        <w:t xml:space="preserve">(3), 423–439. </w:t>
      </w:r>
      <w:hyperlink r:id="rId64">
        <w:r w:rsidRPr="002F7029">
          <w:rPr>
            <w:rStyle w:val="Hyperlink"/>
            <w:rFonts w:ascii="Times New Roman" w:eastAsia="Times New Roman" w:hAnsi="Times New Roman" w:cs="Times New Roman"/>
            <w:bCs/>
            <w:color w:val="000000" w:themeColor="text1"/>
            <w:sz w:val="17"/>
            <w:szCs w:val="17"/>
            <w:u w:val="none"/>
            <w:lang w:val="en-IN"/>
          </w:rPr>
          <w:t>https://doi.org/10.1007/s10584-019-02608-1</w:t>
        </w:r>
      </w:hyperlink>
    </w:p>
    <w:p w14:paraId="18C44B33"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Fernández, J. E. (2014). Plant-based sensing to monitor water stress: Applicability to commercial orchards. </w:t>
      </w:r>
      <w:r w:rsidRPr="002F7029">
        <w:rPr>
          <w:rFonts w:ascii="Times New Roman" w:eastAsia="Times New Roman" w:hAnsi="Times New Roman" w:cs="Times New Roman"/>
          <w:bCs/>
          <w:i/>
          <w:iCs/>
          <w:color w:val="000000" w:themeColor="text1"/>
          <w:sz w:val="17"/>
          <w:szCs w:val="17"/>
          <w:lang w:val="en-IN"/>
        </w:rPr>
        <w:t>Agricultural Water Management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142</w:t>
      </w:r>
      <w:r w:rsidRPr="002F7029">
        <w:rPr>
          <w:rFonts w:ascii="Times New Roman" w:eastAsia="Times New Roman" w:hAnsi="Times New Roman" w:cs="Times New Roman"/>
          <w:bCs/>
          <w:color w:val="000000" w:themeColor="text1"/>
          <w:sz w:val="17"/>
          <w:szCs w:val="17"/>
          <w:lang w:val="en-IN"/>
        </w:rPr>
        <w:t xml:space="preserve">, 99–109. </w:t>
      </w:r>
      <w:hyperlink r:id="rId65">
        <w:r w:rsidRPr="002F7029">
          <w:rPr>
            <w:rStyle w:val="Hyperlink"/>
            <w:rFonts w:ascii="Times New Roman" w:eastAsia="Times New Roman" w:hAnsi="Times New Roman" w:cs="Times New Roman"/>
            <w:bCs/>
            <w:color w:val="000000" w:themeColor="text1"/>
            <w:sz w:val="17"/>
            <w:szCs w:val="17"/>
            <w:u w:val="none"/>
            <w:lang w:val="en-IN"/>
          </w:rPr>
          <w:t>https://doi.org/10.1016/j.agwat.2014.04.017</w:t>
        </w:r>
      </w:hyperlink>
    </w:p>
    <w:p w14:paraId="3D859189"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Fernández, J. E. (2017). Plant-based methods for irrigation scheduling of woody crops. </w:t>
      </w:r>
      <w:proofErr w:type="spellStart"/>
      <w:r w:rsidRPr="002F7029">
        <w:rPr>
          <w:rFonts w:ascii="Times New Roman" w:eastAsia="Times New Roman" w:hAnsi="Times New Roman" w:cs="Times New Roman"/>
          <w:bCs/>
          <w:i/>
          <w:iCs/>
          <w:color w:val="000000" w:themeColor="text1"/>
          <w:sz w:val="17"/>
          <w:szCs w:val="17"/>
          <w:lang w:val="en-IN"/>
        </w:rPr>
        <w:t>Horticulturae</w:t>
      </w:r>
      <w:proofErr w:type="spellEnd"/>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3</w:t>
      </w:r>
      <w:r w:rsidRPr="002F7029">
        <w:rPr>
          <w:rFonts w:ascii="Times New Roman" w:eastAsia="Times New Roman" w:hAnsi="Times New Roman" w:cs="Times New Roman"/>
          <w:bCs/>
          <w:color w:val="000000" w:themeColor="text1"/>
          <w:sz w:val="17"/>
          <w:szCs w:val="17"/>
          <w:lang w:val="en-IN"/>
        </w:rPr>
        <w:t xml:space="preserve">(2), Article 35. </w:t>
      </w:r>
      <w:hyperlink r:id="rId66">
        <w:r w:rsidRPr="002F7029">
          <w:rPr>
            <w:rStyle w:val="Hyperlink"/>
            <w:rFonts w:ascii="Times New Roman" w:eastAsia="Times New Roman" w:hAnsi="Times New Roman" w:cs="Times New Roman"/>
            <w:bCs/>
            <w:color w:val="000000" w:themeColor="text1"/>
            <w:sz w:val="17"/>
            <w:szCs w:val="17"/>
            <w:u w:val="none"/>
            <w:lang w:val="en-IN"/>
          </w:rPr>
          <w:t>https://doi.org/10.3390/horticulturae3020035</w:t>
        </w:r>
      </w:hyperlink>
    </w:p>
    <w:p w14:paraId="482CFC7A"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Fichtl, L., Hofmann, M., Kahlen, K., Voss-Fels, K. P., Cast, C. S., Ollat, N., Vivin, P., Loose, S., </w:t>
      </w:r>
      <w:proofErr w:type="spellStart"/>
      <w:r w:rsidRPr="002F7029">
        <w:rPr>
          <w:rFonts w:ascii="Times New Roman" w:eastAsia="Times New Roman" w:hAnsi="Times New Roman" w:cs="Times New Roman"/>
          <w:bCs/>
          <w:color w:val="000000" w:themeColor="text1"/>
          <w:sz w:val="17"/>
          <w:szCs w:val="17"/>
          <w:lang w:val="en-IN"/>
        </w:rPr>
        <w:t>Nsibi</w:t>
      </w:r>
      <w:proofErr w:type="spellEnd"/>
      <w:r w:rsidRPr="002F7029">
        <w:rPr>
          <w:rFonts w:ascii="Times New Roman" w:eastAsia="Times New Roman" w:hAnsi="Times New Roman" w:cs="Times New Roman"/>
          <w:bCs/>
          <w:color w:val="000000" w:themeColor="text1"/>
          <w:sz w:val="17"/>
          <w:szCs w:val="17"/>
          <w:lang w:val="en-IN"/>
        </w:rPr>
        <w:t xml:space="preserve">, M., Schmid, J., Strack, T., Schultz, H. R., Smith, J., &amp; Friedel, M. (2023). Towards grapevine root architectural models to adapt viticulture to drought. </w:t>
      </w:r>
      <w:r w:rsidRPr="002F7029">
        <w:rPr>
          <w:rFonts w:ascii="Times New Roman" w:eastAsia="Times New Roman" w:hAnsi="Times New Roman" w:cs="Times New Roman"/>
          <w:bCs/>
          <w:i/>
          <w:iCs/>
          <w:color w:val="000000" w:themeColor="text1"/>
          <w:sz w:val="17"/>
          <w:szCs w:val="17"/>
          <w:lang w:val="en-IN"/>
        </w:rPr>
        <w:t>Frontiers in Plant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14</w:t>
      </w:r>
      <w:r w:rsidRPr="002F7029">
        <w:rPr>
          <w:rFonts w:ascii="Times New Roman" w:eastAsia="Times New Roman" w:hAnsi="Times New Roman" w:cs="Times New Roman"/>
          <w:bCs/>
          <w:color w:val="000000" w:themeColor="text1"/>
          <w:sz w:val="17"/>
          <w:szCs w:val="17"/>
          <w:lang w:val="en-IN"/>
        </w:rPr>
        <w:t xml:space="preserve">, Article 1162506. </w:t>
      </w:r>
      <w:hyperlink r:id="rId67">
        <w:r w:rsidRPr="002F7029">
          <w:rPr>
            <w:rStyle w:val="Hyperlink"/>
            <w:rFonts w:ascii="Times New Roman" w:eastAsia="Times New Roman" w:hAnsi="Times New Roman" w:cs="Times New Roman"/>
            <w:bCs/>
            <w:color w:val="000000" w:themeColor="text1"/>
            <w:sz w:val="17"/>
            <w:szCs w:val="17"/>
            <w:u w:val="none"/>
            <w:lang w:val="en-IN"/>
          </w:rPr>
          <w:t>https://doi.org/10.3389/fpls.2023.1162506</w:t>
        </w:r>
      </w:hyperlink>
    </w:p>
    <w:p w14:paraId="00DEA7A5"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lastRenderedPageBreak/>
        <w:t xml:space="preserve">Flachowsky, H., Le Roux, P.-M., Peil, A., </w:t>
      </w:r>
      <w:proofErr w:type="spellStart"/>
      <w:r w:rsidRPr="002F7029">
        <w:rPr>
          <w:rFonts w:ascii="Times New Roman" w:eastAsia="Times New Roman" w:hAnsi="Times New Roman" w:cs="Times New Roman"/>
          <w:bCs/>
          <w:color w:val="000000" w:themeColor="text1"/>
          <w:sz w:val="17"/>
          <w:szCs w:val="17"/>
          <w:lang w:val="en-IN"/>
        </w:rPr>
        <w:t>Patocchi</w:t>
      </w:r>
      <w:proofErr w:type="spellEnd"/>
      <w:r w:rsidRPr="002F7029">
        <w:rPr>
          <w:rFonts w:ascii="Times New Roman" w:eastAsia="Times New Roman" w:hAnsi="Times New Roman" w:cs="Times New Roman"/>
          <w:bCs/>
          <w:color w:val="000000" w:themeColor="text1"/>
          <w:sz w:val="17"/>
          <w:szCs w:val="17"/>
          <w:lang w:val="en-IN"/>
        </w:rPr>
        <w:t>, A., Richter, K., &amp; Hanke, M.-V. (2011). Application of a high-speed breeding technology to apple (</w:t>
      </w:r>
      <w:r w:rsidRPr="002F7029">
        <w:rPr>
          <w:rFonts w:ascii="Times New Roman" w:eastAsia="Times New Roman" w:hAnsi="Times New Roman" w:cs="Times New Roman"/>
          <w:bCs/>
          <w:i/>
          <w:iCs/>
          <w:color w:val="000000" w:themeColor="text1"/>
          <w:sz w:val="17"/>
          <w:szCs w:val="17"/>
          <w:lang w:val="en-IN"/>
        </w:rPr>
        <w:t>Malus</w:t>
      </w:r>
      <w:r w:rsidRPr="002F7029">
        <w:rPr>
          <w:rFonts w:ascii="Times New Roman" w:eastAsia="Times New Roman" w:hAnsi="Times New Roman" w:cs="Times New Roman"/>
          <w:bCs/>
          <w:color w:val="000000" w:themeColor="text1"/>
          <w:sz w:val="17"/>
          <w:szCs w:val="17"/>
          <w:lang w:val="en-IN"/>
        </w:rPr>
        <w:t xml:space="preserve"> × </w:t>
      </w:r>
      <w:r w:rsidRPr="002F7029">
        <w:rPr>
          <w:rFonts w:ascii="Times New Roman" w:eastAsia="Times New Roman" w:hAnsi="Times New Roman" w:cs="Times New Roman"/>
          <w:bCs/>
          <w:i/>
          <w:iCs/>
          <w:color w:val="000000" w:themeColor="text1"/>
          <w:sz w:val="17"/>
          <w:szCs w:val="17"/>
          <w:lang w:val="en-IN"/>
        </w:rPr>
        <w:t>domestica</w:t>
      </w:r>
      <w:r w:rsidRPr="002F7029">
        <w:rPr>
          <w:rFonts w:ascii="Times New Roman" w:eastAsia="Times New Roman" w:hAnsi="Times New Roman" w:cs="Times New Roman"/>
          <w:bCs/>
          <w:color w:val="000000" w:themeColor="text1"/>
          <w:sz w:val="17"/>
          <w:szCs w:val="17"/>
          <w:lang w:val="en-IN"/>
        </w:rPr>
        <w:t xml:space="preserve">) based on transgenic early flowering plants and marker-assisted selection. </w:t>
      </w:r>
      <w:r w:rsidRPr="002F7029">
        <w:rPr>
          <w:rFonts w:ascii="Times New Roman" w:eastAsia="Times New Roman" w:hAnsi="Times New Roman" w:cs="Times New Roman"/>
          <w:bCs/>
          <w:i/>
          <w:iCs/>
          <w:color w:val="000000" w:themeColor="text1"/>
          <w:sz w:val="17"/>
          <w:szCs w:val="17"/>
          <w:lang w:val="en-IN"/>
        </w:rPr>
        <w:t>New Phytologist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192</w:t>
      </w:r>
      <w:r w:rsidRPr="002F7029">
        <w:rPr>
          <w:rFonts w:ascii="Times New Roman" w:eastAsia="Times New Roman" w:hAnsi="Times New Roman" w:cs="Times New Roman"/>
          <w:bCs/>
          <w:color w:val="000000" w:themeColor="text1"/>
          <w:sz w:val="17"/>
          <w:szCs w:val="17"/>
          <w:lang w:val="en-IN"/>
        </w:rPr>
        <w:t xml:space="preserve">(2), 364–377. </w:t>
      </w:r>
      <w:hyperlink r:id="rId68">
        <w:r w:rsidRPr="002F7029">
          <w:rPr>
            <w:rStyle w:val="Hyperlink"/>
            <w:rFonts w:ascii="Times New Roman" w:eastAsia="Times New Roman" w:hAnsi="Times New Roman" w:cs="Times New Roman"/>
            <w:bCs/>
            <w:color w:val="000000" w:themeColor="text1"/>
            <w:sz w:val="17"/>
            <w:szCs w:val="17"/>
            <w:u w:val="none"/>
            <w:lang w:val="en-IN"/>
          </w:rPr>
          <w:t>https://doi.org/10.1111/j.1469-8137.2011.03813.x</w:t>
        </w:r>
      </w:hyperlink>
    </w:p>
    <w:p w14:paraId="78D217D1"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Fort, K., Fraga, J., Grossi, D., &amp; Walker, M. A. (2017). Early measures of drought tolerance in four grape rootstocks. </w:t>
      </w:r>
      <w:r w:rsidRPr="002F7029">
        <w:rPr>
          <w:rFonts w:ascii="Times New Roman" w:eastAsia="Times New Roman" w:hAnsi="Times New Roman" w:cs="Times New Roman"/>
          <w:bCs/>
          <w:i/>
          <w:iCs/>
          <w:color w:val="000000" w:themeColor="text1"/>
          <w:sz w:val="17"/>
          <w:szCs w:val="17"/>
          <w:lang w:val="en-IN"/>
        </w:rPr>
        <w:t>Journal of the American Society for Horticultural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142</w:t>
      </w:r>
      <w:r w:rsidRPr="002F7029">
        <w:rPr>
          <w:rFonts w:ascii="Times New Roman" w:eastAsia="Times New Roman" w:hAnsi="Times New Roman" w:cs="Times New Roman"/>
          <w:bCs/>
          <w:color w:val="000000" w:themeColor="text1"/>
          <w:sz w:val="17"/>
          <w:szCs w:val="17"/>
          <w:lang w:val="en-IN"/>
        </w:rPr>
        <w:t xml:space="preserve">(1), 36–46. </w:t>
      </w:r>
      <w:hyperlink r:id="rId69">
        <w:r w:rsidRPr="002F7029">
          <w:rPr>
            <w:rStyle w:val="Hyperlink"/>
            <w:rFonts w:ascii="Times New Roman" w:eastAsia="Times New Roman" w:hAnsi="Times New Roman" w:cs="Times New Roman"/>
            <w:bCs/>
            <w:color w:val="000000" w:themeColor="text1"/>
            <w:sz w:val="17"/>
            <w:szCs w:val="17"/>
            <w:u w:val="none"/>
            <w:lang w:val="en-IN"/>
          </w:rPr>
          <w:t>https://doi.org/10.21273/jashs03919-16</w:t>
        </w:r>
      </w:hyperlink>
    </w:p>
    <w:p w14:paraId="2EE89395"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Fraga, H., </w:t>
      </w:r>
      <w:proofErr w:type="spellStart"/>
      <w:r w:rsidRPr="002F7029">
        <w:rPr>
          <w:rFonts w:ascii="Times New Roman" w:eastAsia="Times New Roman" w:hAnsi="Times New Roman" w:cs="Times New Roman"/>
          <w:bCs/>
          <w:color w:val="000000" w:themeColor="text1"/>
          <w:sz w:val="17"/>
          <w:szCs w:val="17"/>
          <w:lang w:val="en-IN"/>
        </w:rPr>
        <w:t>Moriondo</w:t>
      </w:r>
      <w:proofErr w:type="spellEnd"/>
      <w:r w:rsidRPr="002F7029">
        <w:rPr>
          <w:rFonts w:ascii="Times New Roman" w:eastAsia="Times New Roman" w:hAnsi="Times New Roman" w:cs="Times New Roman"/>
          <w:bCs/>
          <w:color w:val="000000" w:themeColor="text1"/>
          <w:sz w:val="17"/>
          <w:szCs w:val="17"/>
          <w:lang w:val="en-IN"/>
        </w:rPr>
        <w:t xml:space="preserve">, M., Leolini, L., &amp; Santos, J. A. (2021). Mediterranean olive orchards under climate change: A review of future impacts and adaptation strategies. </w:t>
      </w:r>
      <w:r w:rsidRPr="002F7029">
        <w:rPr>
          <w:rFonts w:ascii="Times New Roman" w:eastAsia="Times New Roman" w:hAnsi="Times New Roman" w:cs="Times New Roman"/>
          <w:bCs/>
          <w:i/>
          <w:iCs/>
          <w:color w:val="000000" w:themeColor="text1"/>
          <w:sz w:val="17"/>
          <w:szCs w:val="17"/>
          <w:lang w:val="en-IN"/>
        </w:rPr>
        <w:t>Agronomy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11</w:t>
      </w:r>
      <w:r w:rsidRPr="002F7029">
        <w:rPr>
          <w:rFonts w:ascii="Times New Roman" w:eastAsia="Times New Roman" w:hAnsi="Times New Roman" w:cs="Times New Roman"/>
          <w:bCs/>
          <w:color w:val="000000" w:themeColor="text1"/>
          <w:sz w:val="17"/>
          <w:szCs w:val="17"/>
          <w:lang w:val="en-IN"/>
        </w:rPr>
        <w:t xml:space="preserve">(1), Article 56. </w:t>
      </w:r>
      <w:hyperlink r:id="rId70">
        <w:r w:rsidRPr="002F7029">
          <w:rPr>
            <w:rStyle w:val="Hyperlink"/>
            <w:rFonts w:ascii="Times New Roman" w:eastAsia="Times New Roman" w:hAnsi="Times New Roman" w:cs="Times New Roman"/>
            <w:bCs/>
            <w:color w:val="000000" w:themeColor="text1"/>
            <w:sz w:val="17"/>
            <w:szCs w:val="17"/>
            <w:u w:val="none"/>
            <w:lang w:val="en-IN"/>
          </w:rPr>
          <w:t>https://doi.org/10.3390/agronomy11010056</w:t>
        </w:r>
      </w:hyperlink>
    </w:p>
    <w:p w14:paraId="2B72744D"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Fraga, H., Pinto, J. G., &amp; Santos, J. A. (2019). Climate change projections for chilling and heat forcing conditions in European vineyards and olive orchards: A multi-model assessment. </w:t>
      </w:r>
      <w:r w:rsidRPr="002F7029">
        <w:rPr>
          <w:rFonts w:ascii="Times New Roman" w:eastAsia="Times New Roman" w:hAnsi="Times New Roman" w:cs="Times New Roman"/>
          <w:bCs/>
          <w:i/>
          <w:iCs/>
          <w:color w:val="000000" w:themeColor="text1"/>
          <w:sz w:val="17"/>
          <w:szCs w:val="17"/>
          <w:lang w:val="en-IN"/>
        </w:rPr>
        <w:t>Climatic Change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152</w:t>
      </w:r>
      <w:r w:rsidRPr="002F7029">
        <w:rPr>
          <w:rFonts w:ascii="Times New Roman" w:eastAsia="Times New Roman" w:hAnsi="Times New Roman" w:cs="Times New Roman"/>
          <w:bCs/>
          <w:color w:val="000000" w:themeColor="text1"/>
          <w:sz w:val="17"/>
          <w:szCs w:val="17"/>
          <w:lang w:val="en-IN"/>
        </w:rPr>
        <w:t xml:space="preserve">(1), 179–193. </w:t>
      </w:r>
      <w:hyperlink r:id="rId71">
        <w:r w:rsidRPr="002F7029">
          <w:rPr>
            <w:rStyle w:val="Hyperlink"/>
            <w:rFonts w:ascii="Times New Roman" w:eastAsia="Times New Roman" w:hAnsi="Times New Roman" w:cs="Times New Roman"/>
            <w:bCs/>
            <w:color w:val="000000" w:themeColor="text1"/>
            <w:sz w:val="17"/>
            <w:szCs w:val="17"/>
            <w:u w:val="none"/>
            <w:lang w:val="en-IN"/>
          </w:rPr>
          <w:t>https://doi.org/10.1007/s10584-018-2337-5</w:t>
        </w:r>
      </w:hyperlink>
    </w:p>
    <w:p w14:paraId="60E47826"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Fraga, H., Pinto, J. G., &amp; Santos, J. A. (2020). Olive tree irrigation as a climate change adaptation measure in Alentejo, Portugal. </w:t>
      </w:r>
      <w:r w:rsidRPr="002F7029">
        <w:rPr>
          <w:rFonts w:ascii="Times New Roman" w:eastAsia="Times New Roman" w:hAnsi="Times New Roman" w:cs="Times New Roman"/>
          <w:bCs/>
          <w:i/>
          <w:iCs/>
          <w:color w:val="000000" w:themeColor="text1"/>
          <w:sz w:val="17"/>
          <w:szCs w:val="17"/>
          <w:lang w:val="en-IN"/>
        </w:rPr>
        <w:t>Agricultural Water Management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237</w:t>
      </w:r>
      <w:r w:rsidRPr="002F7029">
        <w:rPr>
          <w:rFonts w:ascii="Times New Roman" w:eastAsia="Times New Roman" w:hAnsi="Times New Roman" w:cs="Times New Roman"/>
          <w:bCs/>
          <w:color w:val="000000" w:themeColor="text1"/>
          <w:sz w:val="17"/>
          <w:szCs w:val="17"/>
          <w:lang w:val="en-IN"/>
        </w:rPr>
        <w:t xml:space="preserve">, Article 106193. </w:t>
      </w:r>
      <w:hyperlink r:id="rId72">
        <w:r w:rsidRPr="002F7029">
          <w:rPr>
            <w:rStyle w:val="Hyperlink"/>
            <w:rFonts w:ascii="Times New Roman" w:eastAsia="Times New Roman" w:hAnsi="Times New Roman" w:cs="Times New Roman"/>
            <w:bCs/>
            <w:color w:val="000000" w:themeColor="text1"/>
            <w:sz w:val="17"/>
            <w:szCs w:val="17"/>
            <w:u w:val="none"/>
            <w:lang w:val="en-IN"/>
          </w:rPr>
          <w:t>https://doi.org/10.1016/j.agwat.2020.106193</w:t>
        </w:r>
      </w:hyperlink>
    </w:p>
    <w:p w14:paraId="37E24344"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Fujisawa, M., Kobayashi, K., Johnston, P., &amp; New, M. (2015). What drives farmers to make top-down or bottom-up adaptation to climate change and fluctuations? A comparative study on 3 cases of apple farming in Japan and South Africa. </w:t>
      </w:r>
      <w:r w:rsidRPr="002F7029">
        <w:rPr>
          <w:rFonts w:ascii="Times New Roman" w:eastAsia="Times New Roman" w:hAnsi="Times New Roman" w:cs="Times New Roman"/>
          <w:bCs/>
          <w:i/>
          <w:iCs/>
          <w:color w:val="000000" w:themeColor="text1"/>
          <w:sz w:val="17"/>
          <w:szCs w:val="17"/>
          <w:lang w:val="en-IN"/>
        </w:rPr>
        <w:t>PLOS ONE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10</w:t>
      </w:r>
      <w:r w:rsidRPr="002F7029">
        <w:rPr>
          <w:rFonts w:ascii="Times New Roman" w:eastAsia="Times New Roman" w:hAnsi="Times New Roman" w:cs="Times New Roman"/>
          <w:bCs/>
          <w:color w:val="000000" w:themeColor="text1"/>
          <w:sz w:val="17"/>
          <w:szCs w:val="17"/>
          <w:lang w:val="en-IN"/>
        </w:rPr>
        <w:t xml:space="preserve">(3), Article e0120563. </w:t>
      </w:r>
      <w:hyperlink r:id="rId73">
        <w:r w:rsidRPr="002F7029">
          <w:rPr>
            <w:rStyle w:val="Hyperlink"/>
            <w:rFonts w:ascii="Times New Roman" w:eastAsia="Times New Roman" w:hAnsi="Times New Roman" w:cs="Times New Roman"/>
            <w:bCs/>
            <w:color w:val="000000" w:themeColor="text1"/>
            <w:sz w:val="17"/>
            <w:szCs w:val="17"/>
            <w:u w:val="none"/>
            <w:lang w:val="en-IN"/>
          </w:rPr>
          <w:t>https://doi.org/10.1371/journal.pone.0120563</w:t>
        </w:r>
      </w:hyperlink>
    </w:p>
    <w:p w14:paraId="7E3B4C09"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Galindo, A., Collado-González, J., </w:t>
      </w:r>
      <w:proofErr w:type="spellStart"/>
      <w:r w:rsidRPr="002F7029">
        <w:rPr>
          <w:rFonts w:ascii="Times New Roman" w:eastAsia="Times New Roman" w:hAnsi="Times New Roman" w:cs="Times New Roman"/>
          <w:bCs/>
          <w:color w:val="000000" w:themeColor="text1"/>
          <w:sz w:val="17"/>
          <w:szCs w:val="17"/>
          <w:lang w:val="en-IN"/>
        </w:rPr>
        <w:t>Griñán</w:t>
      </w:r>
      <w:proofErr w:type="spellEnd"/>
      <w:r w:rsidRPr="002F7029">
        <w:rPr>
          <w:rFonts w:ascii="Times New Roman" w:eastAsia="Times New Roman" w:hAnsi="Times New Roman" w:cs="Times New Roman"/>
          <w:bCs/>
          <w:color w:val="000000" w:themeColor="text1"/>
          <w:sz w:val="17"/>
          <w:szCs w:val="17"/>
          <w:lang w:val="en-IN"/>
        </w:rPr>
        <w:t>, I., Corell, M., Centeno, A., Martín-Palomo, M. J., Girón, I. F., Rodríguez, P., Cruz, Z. N., Memmi, H., Carbonell-</w:t>
      </w:r>
      <w:proofErr w:type="spellStart"/>
      <w:r w:rsidRPr="002F7029">
        <w:rPr>
          <w:rFonts w:ascii="Times New Roman" w:eastAsia="Times New Roman" w:hAnsi="Times New Roman" w:cs="Times New Roman"/>
          <w:bCs/>
          <w:color w:val="000000" w:themeColor="text1"/>
          <w:sz w:val="17"/>
          <w:szCs w:val="17"/>
          <w:lang w:val="en-IN"/>
        </w:rPr>
        <w:t>Barrachina</w:t>
      </w:r>
      <w:proofErr w:type="spellEnd"/>
      <w:r w:rsidRPr="002F7029">
        <w:rPr>
          <w:rFonts w:ascii="Times New Roman" w:eastAsia="Times New Roman" w:hAnsi="Times New Roman" w:cs="Times New Roman"/>
          <w:bCs/>
          <w:color w:val="000000" w:themeColor="text1"/>
          <w:sz w:val="17"/>
          <w:szCs w:val="17"/>
          <w:lang w:val="en-IN"/>
        </w:rPr>
        <w:t xml:space="preserve">, A. A., Hernández, F., Torrecillas, A., Moriana, A., &amp; Pérez-López, D. (2018). Deficit irrigation and emerging fruit crops as a strategy to save water in Mediterranean semiarid </w:t>
      </w:r>
      <w:proofErr w:type="spellStart"/>
      <w:r w:rsidRPr="002F7029">
        <w:rPr>
          <w:rFonts w:ascii="Times New Roman" w:eastAsia="Times New Roman" w:hAnsi="Times New Roman" w:cs="Times New Roman"/>
          <w:bCs/>
          <w:color w:val="000000" w:themeColor="text1"/>
          <w:sz w:val="17"/>
          <w:szCs w:val="17"/>
          <w:lang w:val="en-IN"/>
        </w:rPr>
        <w:t>agrosystems</w:t>
      </w:r>
      <w:proofErr w:type="spellEnd"/>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Agricultural Water Management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202</w:t>
      </w:r>
      <w:r w:rsidRPr="002F7029">
        <w:rPr>
          <w:rFonts w:ascii="Times New Roman" w:eastAsia="Times New Roman" w:hAnsi="Times New Roman" w:cs="Times New Roman"/>
          <w:bCs/>
          <w:color w:val="000000" w:themeColor="text1"/>
          <w:sz w:val="17"/>
          <w:szCs w:val="17"/>
          <w:lang w:val="en-IN"/>
        </w:rPr>
        <w:t xml:space="preserve">, 311–324. </w:t>
      </w:r>
      <w:hyperlink r:id="rId74">
        <w:r w:rsidRPr="002F7029">
          <w:rPr>
            <w:rStyle w:val="Hyperlink"/>
            <w:rFonts w:ascii="Times New Roman" w:eastAsia="Times New Roman" w:hAnsi="Times New Roman" w:cs="Times New Roman"/>
            <w:bCs/>
            <w:color w:val="000000" w:themeColor="text1"/>
            <w:sz w:val="17"/>
            <w:szCs w:val="17"/>
            <w:u w:val="none"/>
            <w:lang w:val="en-IN"/>
          </w:rPr>
          <w:t>https://doi.org/10.1016/j.agwat.2017.08.015</w:t>
        </w:r>
      </w:hyperlink>
    </w:p>
    <w:p w14:paraId="43E0E849"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Gambetta, G. A., Herrera, J. C., Dayer, S., Feng, Q., Hochberg, U., &amp; </w:t>
      </w:r>
      <w:proofErr w:type="spellStart"/>
      <w:r w:rsidRPr="002F7029">
        <w:rPr>
          <w:rFonts w:ascii="Times New Roman" w:eastAsia="Times New Roman" w:hAnsi="Times New Roman" w:cs="Times New Roman"/>
          <w:bCs/>
          <w:color w:val="000000" w:themeColor="text1"/>
          <w:sz w:val="17"/>
          <w:szCs w:val="17"/>
          <w:lang w:val="en-IN"/>
        </w:rPr>
        <w:t>Castellarin</w:t>
      </w:r>
      <w:proofErr w:type="spellEnd"/>
      <w:r w:rsidRPr="002F7029">
        <w:rPr>
          <w:rFonts w:ascii="Times New Roman" w:eastAsia="Times New Roman" w:hAnsi="Times New Roman" w:cs="Times New Roman"/>
          <w:bCs/>
          <w:color w:val="000000" w:themeColor="text1"/>
          <w:sz w:val="17"/>
          <w:szCs w:val="17"/>
          <w:lang w:val="en-IN"/>
        </w:rPr>
        <w:t xml:space="preserve">, S. D. (2020). The physiology of drought stress in grapevine: Towards an integrative definition of drought tolerance. </w:t>
      </w:r>
      <w:r w:rsidRPr="002F7029">
        <w:rPr>
          <w:rFonts w:ascii="Times New Roman" w:eastAsia="Times New Roman" w:hAnsi="Times New Roman" w:cs="Times New Roman"/>
          <w:bCs/>
          <w:i/>
          <w:iCs/>
          <w:color w:val="000000" w:themeColor="text1"/>
          <w:sz w:val="17"/>
          <w:szCs w:val="17"/>
          <w:lang w:val="en-IN"/>
        </w:rPr>
        <w:t>Journal of Experimental Botany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71</w:t>
      </w:r>
      <w:r w:rsidRPr="002F7029">
        <w:rPr>
          <w:rFonts w:ascii="Times New Roman" w:eastAsia="Times New Roman" w:hAnsi="Times New Roman" w:cs="Times New Roman"/>
          <w:bCs/>
          <w:color w:val="000000" w:themeColor="text1"/>
          <w:sz w:val="17"/>
          <w:szCs w:val="17"/>
          <w:lang w:val="en-IN"/>
        </w:rPr>
        <w:t xml:space="preserve">(16), 4658–4676. </w:t>
      </w:r>
      <w:hyperlink r:id="rId75">
        <w:r w:rsidRPr="002F7029">
          <w:rPr>
            <w:rStyle w:val="Hyperlink"/>
            <w:rFonts w:ascii="Times New Roman" w:eastAsia="Times New Roman" w:hAnsi="Times New Roman" w:cs="Times New Roman"/>
            <w:bCs/>
            <w:color w:val="000000" w:themeColor="text1"/>
            <w:sz w:val="17"/>
            <w:szCs w:val="17"/>
            <w:u w:val="none"/>
            <w:lang w:val="en-IN"/>
          </w:rPr>
          <w:t>https://doi.org/10.1093/jxb/eraa245</w:t>
        </w:r>
      </w:hyperlink>
    </w:p>
    <w:p w14:paraId="263C0B78"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nl-BE"/>
        </w:rPr>
      </w:pPr>
      <w:r w:rsidRPr="002F7029">
        <w:rPr>
          <w:rFonts w:ascii="Times New Roman" w:eastAsia="Times New Roman" w:hAnsi="Times New Roman" w:cs="Times New Roman"/>
          <w:bCs/>
          <w:color w:val="000000" w:themeColor="text1"/>
          <w:sz w:val="17"/>
          <w:szCs w:val="17"/>
          <w:lang w:val="en-IN"/>
        </w:rPr>
        <w:t xml:space="preserve">Gambetta, J. M., Holzapfel, B. P., Stoll, M., &amp; Friedel, M. (2021). Sunburn in grapes: A review. </w:t>
      </w:r>
      <w:r w:rsidRPr="002F7029">
        <w:rPr>
          <w:rFonts w:ascii="Times New Roman" w:eastAsia="Times New Roman" w:hAnsi="Times New Roman" w:cs="Times New Roman"/>
          <w:bCs/>
          <w:i/>
          <w:iCs/>
          <w:color w:val="000000" w:themeColor="text1"/>
          <w:sz w:val="17"/>
          <w:szCs w:val="17"/>
          <w:lang w:val="en-IN"/>
        </w:rPr>
        <w:t>Frontiers in Plant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11</w:t>
      </w:r>
      <w:r w:rsidRPr="002F7029">
        <w:rPr>
          <w:rFonts w:ascii="Times New Roman" w:eastAsia="Times New Roman" w:hAnsi="Times New Roman" w:cs="Times New Roman"/>
          <w:bCs/>
          <w:color w:val="000000" w:themeColor="text1"/>
          <w:sz w:val="17"/>
          <w:szCs w:val="17"/>
          <w:lang w:val="en-IN"/>
        </w:rPr>
        <w:t xml:space="preserve">, Article 604691. </w:t>
      </w:r>
      <w:hyperlink r:id="rId76">
        <w:r w:rsidRPr="002F7029">
          <w:rPr>
            <w:rStyle w:val="Hyperlink"/>
            <w:rFonts w:ascii="Times New Roman" w:eastAsia="Times New Roman" w:hAnsi="Times New Roman" w:cs="Times New Roman"/>
            <w:bCs/>
            <w:color w:val="000000" w:themeColor="text1"/>
            <w:sz w:val="17"/>
            <w:szCs w:val="17"/>
            <w:u w:val="none"/>
            <w:lang w:val="nl-BE"/>
          </w:rPr>
          <w:t>https://doi.org/10.3389/fpls.2020.604691</w:t>
        </w:r>
      </w:hyperlink>
    </w:p>
    <w:p w14:paraId="6890B0FD"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nl-BE"/>
        </w:rPr>
        <w:t xml:space="preserve">García-Sánchez, F., &amp; Syvertsen, J. P. (2006). </w:t>
      </w:r>
      <w:r w:rsidRPr="002F7029">
        <w:rPr>
          <w:rFonts w:ascii="Times New Roman" w:eastAsia="Times New Roman" w:hAnsi="Times New Roman" w:cs="Times New Roman"/>
          <w:bCs/>
          <w:color w:val="000000" w:themeColor="text1"/>
          <w:sz w:val="17"/>
          <w:szCs w:val="17"/>
          <w:lang w:val="en-IN"/>
        </w:rPr>
        <w:t xml:space="preserve">Salinity tolerance of Cleopatra mandarin and Carrizo citrange citrus rootstock seedlings is affected by CO₂ enrichment during growth. </w:t>
      </w:r>
      <w:r w:rsidRPr="002F7029">
        <w:rPr>
          <w:rFonts w:ascii="Times New Roman" w:eastAsia="Times New Roman" w:hAnsi="Times New Roman" w:cs="Times New Roman"/>
          <w:bCs/>
          <w:i/>
          <w:iCs/>
          <w:color w:val="000000" w:themeColor="text1"/>
          <w:sz w:val="17"/>
          <w:szCs w:val="17"/>
          <w:lang w:val="en-IN"/>
        </w:rPr>
        <w:t>Journal of the American Society for Horticultural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131</w:t>
      </w:r>
      <w:r w:rsidRPr="002F7029">
        <w:rPr>
          <w:rFonts w:ascii="Times New Roman" w:eastAsia="Times New Roman" w:hAnsi="Times New Roman" w:cs="Times New Roman"/>
          <w:bCs/>
          <w:color w:val="000000" w:themeColor="text1"/>
          <w:sz w:val="17"/>
          <w:szCs w:val="17"/>
          <w:lang w:val="en-IN"/>
        </w:rPr>
        <w:t xml:space="preserve">(1), 24–31. </w:t>
      </w:r>
      <w:hyperlink r:id="rId77">
        <w:r w:rsidRPr="002F7029">
          <w:rPr>
            <w:rStyle w:val="Hyperlink"/>
            <w:rFonts w:ascii="Times New Roman" w:eastAsia="Times New Roman" w:hAnsi="Times New Roman" w:cs="Times New Roman"/>
            <w:bCs/>
            <w:color w:val="000000" w:themeColor="text1"/>
            <w:sz w:val="17"/>
            <w:szCs w:val="17"/>
            <w:u w:val="none"/>
            <w:lang w:val="en-IN"/>
          </w:rPr>
          <w:t>https://doi.org/10.21273/jashs.131.1.24</w:t>
        </w:r>
      </w:hyperlink>
    </w:p>
    <w:p w14:paraId="11E2D52C"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Giguère</w:t>
      </w:r>
      <w:proofErr w:type="spellEnd"/>
      <w:r w:rsidRPr="002F7029">
        <w:rPr>
          <w:rFonts w:ascii="Times New Roman" w:eastAsia="Times New Roman" w:hAnsi="Times New Roman" w:cs="Times New Roman"/>
          <w:bCs/>
          <w:color w:val="000000" w:themeColor="text1"/>
          <w:sz w:val="17"/>
          <w:szCs w:val="17"/>
          <w:lang w:val="en-IN"/>
        </w:rPr>
        <w:t xml:space="preserve">, L., Garrett, R. D., Stigler, M., &amp; Dow, G. J. (2026). Harnessing adaptation has increased French apple yields but heat stress mitigation will become essential by 2050. </w:t>
      </w:r>
      <w:r w:rsidRPr="002F7029">
        <w:rPr>
          <w:rFonts w:ascii="Times New Roman" w:eastAsia="Times New Roman" w:hAnsi="Times New Roman" w:cs="Times New Roman"/>
          <w:bCs/>
          <w:i/>
          <w:color w:val="000000" w:themeColor="text1"/>
          <w:sz w:val="17"/>
          <w:szCs w:val="17"/>
          <w:lang w:val="en-IN"/>
        </w:rPr>
        <w:t>Nature Food, 7</w:t>
      </w:r>
      <w:r w:rsidRPr="002F7029">
        <w:rPr>
          <w:rFonts w:ascii="Times New Roman" w:eastAsia="Times New Roman" w:hAnsi="Times New Roman" w:cs="Times New Roman"/>
          <w:bCs/>
          <w:color w:val="000000" w:themeColor="text1"/>
          <w:sz w:val="17"/>
          <w:szCs w:val="17"/>
          <w:lang w:val="en-IN"/>
        </w:rPr>
        <w:t xml:space="preserve">(4), 321–327. </w:t>
      </w:r>
      <w:hyperlink r:id="rId78">
        <w:r w:rsidRPr="002F7029">
          <w:rPr>
            <w:rStyle w:val="Hyperlink"/>
            <w:rFonts w:ascii="Times New Roman" w:eastAsia="Times New Roman" w:hAnsi="Times New Roman" w:cs="Times New Roman"/>
            <w:bCs/>
            <w:color w:val="000000" w:themeColor="text1"/>
            <w:sz w:val="17"/>
            <w:szCs w:val="17"/>
            <w:u w:val="none"/>
            <w:lang w:val="en-IN"/>
          </w:rPr>
          <w:t>https://doi.org/10.1038/s43016-026-01333-0</w:t>
        </w:r>
      </w:hyperlink>
    </w:p>
    <w:p w14:paraId="4618A4BE"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Gindaba</w:t>
      </w:r>
      <w:proofErr w:type="spellEnd"/>
      <w:r w:rsidRPr="002F7029">
        <w:rPr>
          <w:rFonts w:ascii="Times New Roman" w:eastAsia="Times New Roman" w:hAnsi="Times New Roman" w:cs="Times New Roman"/>
          <w:bCs/>
          <w:color w:val="000000" w:themeColor="text1"/>
          <w:sz w:val="17"/>
          <w:szCs w:val="17"/>
          <w:lang w:val="en-IN"/>
        </w:rPr>
        <w:t xml:space="preserve">, J., &amp; Wand, S. J. E. (2005). Comparative effects of evaporative cooling, kaolin particle film, and shade net on sunburn and fruit quality in apples. </w:t>
      </w:r>
      <w:proofErr w:type="spellStart"/>
      <w:r w:rsidRPr="002F7029">
        <w:rPr>
          <w:rFonts w:ascii="Times New Roman" w:eastAsia="Times New Roman" w:hAnsi="Times New Roman" w:cs="Times New Roman"/>
          <w:bCs/>
          <w:i/>
          <w:iCs/>
          <w:color w:val="000000" w:themeColor="text1"/>
          <w:sz w:val="17"/>
          <w:szCs w:val="17"/>
          <w:lang w:val="en-IN"/>
        </w:rPr>
        <w:t>HortScience</w:t>
      </w:r>
      <w:proofErr w:type="spellEnd"/>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40</w:t>
      </w:r>
      <w:r w:rsidRPr="002F7029">
        <w:rPr>
          <w:rFonts w:ascii="Times New Roman" w:eastAsia="Times New Roman" w:hAnsi="Times New Roman" w:cs="Times New Roman"/>
          <w:bCs/>
          <w:color w:val="000000" w:themeColor="text1"/>
          <w:sz w:val="17"/>
          <w:szCs w:val="17"/>
          <w:lang w:val="en-IN"/>
        </w:rPr>
        <w:t xml:space="preserve">(3), 592–596. </w:t>
      </w:r>
      <w:hyperlink r:id="rId79">
        <w:r w:rsidRPr="002F7029">
          <w:rPr>
            <w:rStyle w:val="Hyperlink"/>
            <w:rFonts w:ascii="Times New Roman" w:eastAsia="Times New Roman" w:hAnsi="Times New Roman" w:cs="Times New Roman"/>
            <w:bCs/>
            <w:color w:val="000000" w:themeColor="text1"/>
            <w:sz w:val="17"/>
            <w:szCs w:val="17"/>
            <w:u w:val="none"/>
            <w:lang w:val="en-IN"/>
          </w:rPr>
          <w:t>https://doi.org/10.21273/hortsci.40.3.592</w:t>
        </w:r>
      </w:hyperlink>
    </w:p>
    <w:p w14:paraId="3A74E9DC"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Glenn, D. M. (2012). The mechanisms of plant stress mitigation by kaolin-based particle films and applications in horticultural and agricultural crops. </w:t>
      </w:r>
      <w:proofErr w:type="spellStart"/>
      <w:r w:rsidRPr="002F7029">
        <w:rPr>
          <w:rFonts w:ascii="Times New Roman" w:eastAsia="Times New Roman" w:hAnsi="Times New Roman" w:cs="Times New Roman"/>
          <w:bCs/>
          <w:i/>
          <w:iCs/>
          <w:color w:val="000000" w:themeColor="text1"/>
          <w:sz w:val="17"/>
          <w:szCs w:val="17"/>
          <w:lang w:val="en-IN"/>
        </w:rPr>
        <w:t>HortScience</w:t>
      </w:r>
      <w:proofErr w:type="spellEnd"/>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47</w:t>
      </w:r>
      <w:r w:rsidRPr="002F7029">
        <w:rPr>
          <w:rFonts w:ascii="Times New Roman" w:eastAsia="Times New Roman" w:hAnsi="Times New Roman" w:cs="Times New Roman"/>
          <w:bCs/>
          <w:color w:val="000000" w:themeColor="text1"/>
          <w:sz w:val="17"/>
          <w:szCs w:val="17"/>
          <w:lang w:val="en-IN"/>
        </w:rPr>
        <w:t xml:space="preserve">(6), 710–711. </w:t>
      </w:r>
      <w:hyperlink r:id="rId80">
        <w:r w:rsidRPr="002F7029">
          <w:rPr>
            <w:rStyle w:val="Hyperlink"/>
            <w:rFonts w:ascii="Times New Roman" w:eastAsia="Times New Roman" w:hAnsi="Times New Roman" w:cs="Times New Roman"/>
            <w:bCs/>
            <w:color w:val="000000" w:themeColor="text1"/>
            <w:sz w:val="17"/>
            <w:szCs w:val="17"/>
            <w:u w:val="none"/>
            <w:lang w:val="en-IN"/>
          </w:rPr>
          <w:t>https://doi.org/10.21273/hortsci.47.6.710</w:t>
        </w:r>
      </w:hyperlink>
    </w:p>
    <w:p w14:paraId="323C78C9"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Gonzalez-Dugo, V., Ruz, C., Testi, L., Orgaz, F., &amp; </w:t>
      </w:r>
      <w:proofErr w:type="spellStart"/>
      <w:r w:rsidRPr="002F7029">
        <w:rPr>
          <w:rFonts w:ascii="Times New Roman" w:eastAsia="Times New Roman" w:hAnsi="Times New Roman" w:cs="Times New Roman"/>
          <w:bCs/>
          <w:color w:val="000000" w:themeColor="text1"/>
          <w:sz w:val="17"/>
          <w:szCs w:val="17"/>
          <w:lang w:val="en-IN"/>
        </w:rPr>
        <w:t>Fereres</w:t>
      </w:r>
      <w:proofErr w:type="spellEnd"/>
      <w:r w:rsidRPr="002F7029">
        <w:rPr>
          <w:rFonts w:ascii="Times New Roman" w:eastAsia="Times New Roman" w:hAnsi="Times New Roman" w:cs="Times New Roman"/>
          <w:bCs/>
          <w:color w:val="000000" w:themeColor="text1"/>
          <w:sz w:val="17"/>
          <w:szCs w:val="17"/>
          <w:lang w:val="en-IN"/>
        </w:rPr>
        <w:t xml:space="preserve">, E. (2018). The impact of deficit irrigation on transpiration and yield of mandarin and late oranges. </w:t>
      </w:r>
      <w:r w:rsidRPr="002F7029">
        <w:rPr>
          <w:rFonts w:ascii="Times New Roman" w:eastAsia="Times New Roman" w:hAnsi="Times New Roman" w:cs="Times New Roman"/>
          <w:bCs/>
          <w:i/>
          <w:iCs/>
          <w:color w:val="000000" w:themeColor="text1"/>
          <w:sz w:val="17"/>
          <w:szCs w:val="17"/>
          <w:lang w:val="en-IN"/>
        </w:rPr>
        <w:t>Irrigation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36</w:t>
      </w:r>
      <w:r w:rsidRPr="002F7029">
        <w:rPr>
          <w:rFonts w:ascii="Times New Roman" w:eastAsia="Times New Roman" w:hAnsi="Times New Roman" w:cs="Times New Roman"/>
          <w:bCs/>
          <w:color w:val="000000" w:themeColor="text1"/>
          <w:sz w:val="17"/>
          <w:szCs w:val="17"/>
          <w:lang w:val="en-IN"/>
        </w:rPr>
        <w:t xml:space="preserve">(4–5), 227–239. </w:t>
      </w:r>
      <w:hyperlink r:id="rId81">
        <w:r w:rsidRPr="002F7029">
          <w:rPr>
            <w:rStyle w:val="Hyperlink"/>
            <w:rFonts w:ascii="Times New Roman" w:eastAsia="Times New Roman" w:hAnsi="Times New Roman" w:cs="Times New Roman"/>
            <w:bCs/>
            <w:color w:val="000000" w:themeColor="text1"/>
            <w:sz w:val="17"/>
            <w:szCs w:val="17"/>
            <w:u w:val="none"/>
            <w:lang w:val="en-IN"/>
          </w:rPr>
          <w:t>https://doi.org/10.1007/s00271-018-0579-7</w:t>
        </w:r>
      </w:hyperlink>
    </w:p>
    <w:p w14:paraId="54F28505"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Gonzalez-Dugo, V., Zarco-Tejada, P., Nicolás, E., </w:t>
      </w:r>
      <w:proofErr w:type="spellStart"/>
      <w:r w:rsidRPr="002F7029">
        <w:rPr>
          <w:rFonts w:ascii="Times New Roman" w:eastAsia="Times New Roman" w:hAnsi="Times New Roman" w:cs="Times New Roman"/>
          <w:bCs/>
          <w:color w:val="000000" w:themeColor="text1"/>
          <w:sz w:val="17"/>
          <w:szCs w:val="17"/>
          <w:lang w:val="en-IN"/>
        </w:rPr>
        <w:t>Nortes</w:t>
      </w:r>
      <w:proofErr w:type="spellEnd"/>
      <w:r w:rsidRPr="002F7029">
        <w:rPr>
          <w:rFonts w:ascii="Times New Roman" w:eastAsia="Times New Roman" w:hAnsi="Times New Roman" w:cs="Times New Roman"/>
          <w:bCs/>
          <w:color w:val="000000" w:themeColor="text1"/>
          <w:sz w:val="17"/>
          <w:szCs w:val="17"/>
          <w:lang w:val="en-IN"/>
        </w:rPr>
        <w:t xml:space="preserve">, P. A., Alarcón, J. J., </w:t>
      </w:r>
      <w:proofErr w:type="spellStart"/>
      <w:r w:rsidRPr="002F7029">
        <w:rPr>
          <w:rFonts w:ascii="Times New Roman" w:eastAsia="Times New Roman" w:hAnsi="Times New Roman" w:cs="Times New Roman"/>
          <w:bCs/>
          <w:color w:val="000000" w:themeColor="text1"/>
          <w:sz w:val="17"/>
          <w:szCs w:val="17"/>
          <w:lang w:val="en-IN"/>
        </w:rPr>
        <w:t>Intrigliolo</w:t>
      </w:r>
      <w:proofErr w:type="spellEnd"/>
      <w:r w:rsidRPr="002F7029">
        <w:rPr>
          <w:rFonts w:ascii="Times New Roman" w:eastAsia="Times New Roman" w:hAnsi="Times New Roman" w:cs="Times New Roman"/>
          <w:bCs/>
          <w:color w:val="000000" w:themeColor="text1"/>
          <w:sz w:val="17"/>
          <w:szCs w:val="17"/>
          <w:lang w:val="en-IN"/>
        </w:rPr>
        <w:t xml:space="preserve">, D. S., &amp; </w:t>
      </w:r>
      <w:proofErr w:type="spellStart"/>
      <w:r w:rsidRPr="002F7029">
        <w:rPr>
          <w:rFonts w:ascii="Times New Roman" w:eastAsia="Times New Roman" w:hAnsi="Times New Roman" w:cs="Times New Roman"/>
          <w:bCs/>
          <w:color w:val="000000" w:themeColor="text1"/>
          <w:sz w:val="17"/>
          <w:szCs w:val="17"/>
          <w:lang w:val="en-IN"/>
        </w:rPr>
        <w:t>Fereres</w:t>
      </w:r>
      <w:proofErr w:type="spellEnd"/>
      <w:r w:rsidRPr="002F7029">
        <w:rPr>
          <w:rFonts w:ascii="Times New Roman" w:eastAsia="Times New Roman" w:hAnsi="Times New Roman" w:cs="Times New Roman"/>
          <w:bCs/>
          <w:color w:val="000000" w:themeColor="text1"/>
          <w:sz w:val="17"/>
          <w:szCs w:val="17"/>
          <w:lang w:val="en-IN"/>
        </w:rPr>
        <w:t xml:space="preserve">, E. (2013). Using high resolution UAV thermal imagery to assess the variability in the water status of five fruit tree species within a commercial orchard. </w:t>
      </w:r>
      <w:r w:rsidRPr="002F7029">
        <w:rPr>
          <w:rFonts w:ascii="Times New Roman" w:eastAsia="Times New Roman" w:hAnsi="Times New Roman" w:cs="Times New Roman"/>
          <w:bCs/>
          <w:i/>
          <w:iCs/>
          <w:color w:val="000000" w:themeColor="text1"/>
          <w:sz w:val="17"/>
          <w:szCs w:val="17"/>
          <w:lang w:val="en-IN"/>
        </w:rPr>
        <w:t>Precision Agriculture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14</w:t>
      </w:r>
      <w:r w:rsidRPr="002F7029">
        <w:rPr>
          <w:rFonts w:ascii="Times New Roman" w:eastAsia="Times New Roman" w:hAnsi="Times New Roman" w:cs="Times New Roman"/>
          <w:bCs/>
          <w:color w:val="000000" w:themeColor="text1"/>
          <w:sz w:val="17"/>
          <w:szCs w:val="17"/>
          <w:lang w:val="en-IN"/>
        </w:rPr>
        <w:t xml:space="preserve">(6), 660–678. </w:t>
      </w:r>
      <w:hyperlink r:id="rId82">
        <w:r w:rsidRPr="002F7029">
          <w:rPr>
            <w:rStyle w:val="Hyperlink"/>
            <w:rFonts w:ascii="Times New Roman" w:eastAsia="Times New Roman" w:hAnsi="Times New Roman" w:cs="Times New Roman"/>
            <w:bCs/>
            <w:color w:val="000000" w:themeColor="text1"/>
            <w:sz w:val="17"/>
            <w:szCs w:val="17"/>
            <w:u w:val="none"/>
            <w:lang w:val="en-IN"/>
          </w:rPr>
          <w:t>https://doi.org/10.1007/s11119-013-9322-9</w:t>
        </w:r>
      </w:hyperlink>
    </w:p>
    <w:p w14:paraId="76E5EE06"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Greenhalgh, T., Thorne, S., &amp; </w:t>
      </w:r>
      <w:proofErr w:type="spellStart"/>
      <w:r w:rsidRPr="002F7029">
        <w:rPr>
          <w:rFonts w:ascii="Times New Roman" w:eastAsia="Times New Roman" w:hAnsi="Times New Roman" w:cs="Times New Roman"/>
          <w:bCs/>
          <w:color w:val="000000" w:themeColor="text1"/>
          <w:sz w:val="17"/>
          <w:szCs w:val="17"/>
          <w:lang w:val="en-IN"/>
        </w:rPr>
        <w:t>Malterud</w:t>
      </w:r>
      <w:proofErr w:type="spellEnd"/>
      <w:r w:rsidRPr="002F7029">
        <w:rPr>
          <w:rFonts w:ascii="Times New Roman" w:eastAsia="Times New Roman" w:hAnsi="Times New Roman" w:cs="Times New Roman"/>
          <w:bCs/>
          <w:color w:val="000000" w:themeColor="text1"/>
          <w:sz w:val="17"/>
          <w:szCs w:val="17"/>
          <w:lang w:val="en-IN"/>
        </w:rPr>
        <w:t xml:space="preserve">, K. (2018). Time to challenge the spurious hierarchy of systematic over narrative reviews? </w:t>
      </w:r>
      <w:r w:rsidRPr="002F7029">
        <w:rPr>
          <w:rFonts w:ascii="Times New Roman" w:eastAsia="Times New Roman" w:hAnsi="Times New Roman" w:cs="Times New Roman"/>
          <w:bCs/>
          <w:i/>
          <w:iCs/>
          <w:color w:val="000000" w:themeColor="text1"/>
          <w:sz w:val="17"/>
          <w:szCs w:val="17"/>
          <w:lang w:val="en-IN"/>
        </w:rPr>
        <w:t>European Journal of Clinical Investigation</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48</w:t>
      </w:r>
      <w:r w:rsidRPr="002F7029">
        <w:rPr>
          <w:rFonts w:ascii="Times New Roman" w:eastAsia="Times New Roman" w:hAnsi="Times New Roman" w:cs="Times New Roman"/>
          <w:bCs/>
          <w:color w:val="000000" w:themeColor="text1"/>
          <w:sz w:val="17"/>
          <w:szCs w:val="17"/>
          <w:lang w:val="en-IN"/>
        </w:rPr>
        <w:t xml:space="preserve">(6), Article e12931. </w:t>
      </w:r>
      <w:hyperlink r:id="rId83">
        <w:r w:rsidRPr="002F7029">
          <w:rPr>
            <w:rStyle w:val="Hyperlink"/>
            <w:rFonts w:ascii="Times New Roman" w:eastAsia="Times New Roman" w:hAnsi="Times New Roman" w:cs="Times New Roman"/>
            <w:bCs/>
            <w:color w:val="000000" w:themeColor="text1"/>
            <w:sz w:val="17"/>
            <w:szCs w:val="17"/>
            <w:u w:val="none"/>
            <w:lang w:val="en-IN"/>
          </w:rPr>
          <w:t>https://doi.org/10.1111/eci.12931</w:t>
        </w:r>
      </w:hyperlink>
    </w:p>
    <w:p w14:paraId="6DE95AE2"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Hannah, L., </w:t>
      </w:r>
      <w:proofErr w:type="spellStart"/>
      <w:r w:rsidRPr="002F7029">
        <w:rPr>
          <w:rFonts w:ascii="Times New Roman" w:eastAsia="Times New Roman" w:hAnsi="Times New Roman" w:cs="Times New Roman"/>
          <w:bCs/>
          <w:color w:val="000000" w:themeColor="text1"/>
          <w:sz w:val="17"/>
          <w:szCs w:val="17"/>
          <w:lang w:val="en-IN"/>
        </w:rPr>
        <w:t>Roehrdanz</w:t>
      </w:r>
      <w:proofErr w:type="spellEnd"/>
      <w:r w:rsidRPr="002F7029">
        <w:rPr>
          <w:rFonts w:ascii="Times New Roman" w:eastAsia="Times New Roman" w:hAnsi="Times New Roman" w:cs="Times New Roman"/>
          <w:bCs/>
          <w:color w:val="000000" w:themeColor="text1"/>
          <w:sz w:val="17"/>
          <w:szCs w:val="17"/>
          <w:lang w:val="en-IN"/>
        </w:rPr>
        <w:t xml:space="preserve">, P. R., Ikegami, M., Shepard, A. V., Shaw, M. R., Tabor, G., Zhi, L., Marquet, P. A., &amp; </w:t>
      </w:r>
      <w:proofErr w:type="spellStart"/>
      <w:r w:rsidRPr="002F7029">
        <w:rPr>
          <w:rFonts w:ascii="Times New Roman" w:eastAsia="Times New Roman" w:hAnsi="Times New Roman" w:cs="Times New Roman"/>
          <w:bCs/>
          <w:color w:val="000000" w:themeColor="text1"/>
          <w:sz w:val="17"/>
          <w:szCs w:val="17"/>
          <w:lang w:val="en-IN"/>
        </w:rPr>
        <w:t>Hijmans</w:t>
      </w:r>
      <w:proofErr w:type="spellEnd"/>
      <w:r w:rsidRPr="002F7029">
        <w:rPr>
          <w:rFonts w:ascii="Times New Roman" w:eastAsia="Times New Roman" w:hAnsi="Times New Roman" w:cs="Times New Roman"/>
          <w:bCs/>
          <w:color w:val="000000" w:themeColor="text1"/>
          <w:sz w:val="17"/>
          <w:szCs w:val="17"/>
          <w:lang w:val="en-IN"/>
        </w:rPr>
        <w:t xml:space="preserve">, R. J. (2013). Climate change, wine, and conservation. </w:t>
      </w:r>
      <w:r w:rsidRPr="002F7029">
        <w:rPr>
          <w:rFonts w:ascii="Times New Roman" w:eastAsia="Times New Roman" w:hAnsi="Times New Roman" w:cs="Times New Roman"/>
          <w:bCs/>
          <w:i/>
          <w:iCs/>
          <w:color w:val="000000" w:themeColor="text1"/>
          <w:sz w:val="17"/>
          <w:szCs w:val="17"/>
          <w:lang w:val="en-IN"/>
        </w:rPr>
        <w:t>Proceedings of the National Academy of Sciences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110</w:t>
      </w:r>
      <w:r w:rsidRPr="002F7029">
        <w:rPr>
          <w:rFonts w:ascii="Times New Roman" w:eastAsia="Times New Roman" w:hAnsi="Times New Roman" w:cs="Times New Roman"/>
          <w:bCs/>
          <w:color w:val="000000" w:themeColor="text1"/>
          <w:sz w:val="17"/>
          <w:szCs w:val="17"/>
          <w:lang w:val="en-IN"/>
        </w:rPr>
        <w:t xml:space="preserve">(17), 6907–6912. </w:t>
      </w:r>
      <w:hyperlink r:id="rId84">
        <w:r w:rsidRPr="002F7029">
          <w:rPr>
            <w:rStyle w:val="Hyperlink"/>
            <w:rFonts w:ascii="Times New Roman" w:eastAsia="Times New Roman" w:hAnsi="Times New Roman" w:cs="Times New Roman"/>
            <w:bCs/>
            <w:color w:val="000000" w:themeColor="text1"/>
            <w:sz w:val="17"/>
            <w:szCs w:val="17"/>
            <w:u w:val="none"/>
            <w:lang w:val="en-IN"/>
          </w:rPr>
          <w:t>https://doi.org/10.1073/pnas.1210127110</w:t>
        </w:r>
      </w:hyperlink>
    </w:p>
    <w:p w14:paraId="2C506FF0"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Harris, Z. N., Pratt, J. E., Kovacs, L. G., Klein, L. L., Kwasniewski, M. T., Londo, J. P., Wu, A. S., &amp; Miller, A. J. (2023). Grapevine scion gene expression is driven by rootstock and environment interaction. </w:t>
      </w:r>
      <w:r w:rsidRPr="002F7029">
        <w:rPr>
          <w:rFonts w:ascii="Times New Roman" w:eastAsia="Times New Roman" w:hAnsi="Times New Roman" w:cs="Times New Roman"/>
          <w:bCs/>
          <w:i/>
          <w:iCs/>
          <w:color w:val="000000" w:themeColor="text1"/>
          <w:sz w:val="17"/>
          <w:szCs w:val="17"/>
          <w:lang w:val="en-IN"/>
        </w:rPr>
        <w:t>BMC Plant Biology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23</w:t>
      </w:r>
      <w:r w:rsidRPr="002F7029">
        <w:rPr>
          <w:rFonts w:ascii="Times New Roman" w:eastAsia="Times New Roman" w:hAnsi="Times New Roman" w:cs="Times New Roman"/>
          <w:bCs/>
          <w:color w:val="000000" w:themeColor="text1"/>
          <w:sz w:val="17"/>
          <w:szCs w:val="17"/>
          <w:lang w:val="en-IN"/>
        </w:rPr>
        <w:t xml:space="preserve">(1), Article 211. </w:t>
      </w:r>
      <w:hyperlink r:id="rId85">
        <w:r w:rsidRPr="002F7029">
          <w:rPr>
            <w:rStyle w:val="Hyperlink"/>
            <w:rFonts w:ascii="Times New Roman" w:eastAsia="Times New Roman" w:hAnsi="Times New Roman" w:cs="Times New Roman"/>
            <w:bCs/>
            <w:color w:val="000000" w:themeColor="text1"/>
            <w:sz w:val="17"/>
            <w:szCs w:val="17"/>
            <w:u w:val="none"/>
            <w:lang w:val="en-IN"/>
          </w:rPr>
          <w:t>https://doi.org/10.1186/s12870-023-04223-w</w:t>
        </w:r>
      </w:hyperlink>
    </w:p>
    <w:p w14:paraId="24E309F4"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Hedhly</w:t>
      </w:r>
      <w:proofErr w:type="spellEnd"/>
      <w:r w:rsidRPr="002F7029">
        <w:rPr>
          <w:rFonts w:ascii="Times New Roman" w:eastAsia="Times New Roman" w:hAnsi="Times New Roman" w:cs="Times New Roman"/>
          <w:bCs/>
          <w:color w:val="000000" w:themeColor="text1"/>
          <w:sz w:val="17"/>
          <w:szCs w:val="17"/>
          <w:lang w:val="en-IN"/>
        </w:rPr>
        <w:t xml:space="preserve">, A., Hormaza, J. I., &amp; Herrero, M. (2009). Global warming and sexual plant reproduction. </w:t>
      </w:r>
      <w:r w:rsidRPr="002F7029">
        <w:rPr>
          <w:rFonts w:ascii="Times New Roman" w:eastAsia="Times New Roman" w:hAnsi="Times New Roman" w:cs="Times New Roman"/>
          <w:bCs/>
          <w:i/>
          <w:iCs/>
          <w:color w:val="000000" w:themeColor="text1"/>
          <w:sz w:val="17"/>
          <w:szCs w:val="17"/>
          <w:lang w:val="en-IN"/>
        </w:rPr>
        <w:t>Trends in Plant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14</w:t>
      </w:r>
      <w:r w:rsidRPr="002F7029">
        <w:rPr>
          <w:rFonts w:ascii="Times New Roman" w:eastAsia="Times New Roman" w:hAnsi="Times New Roman" w:cs="Times New Roman"/>
          <w:bCs/>
          <w:color w:val="000000" w:themeColor="text1"/>
          <w:sz w:val="17"/>
          <w:szCs w:val="17"/>
          <w:lang w:val="en-IN"/>
        </w:rPr>
        <w:t xml:space="preserve">(1), 30–36. </w:t>
      </w:r>
      <w:hyperlink r:id="rId86">
        <w:r w:rsidRPr="002F7029">
          <w:rPr>
            <w:rStyle w:val="Hyperlink"/>
            <w:rFonts w:ascii="Times New Roman" w:eastAsia="Times New Roman" w:hAnsi="Times New Roman" w:cs="Times New Roman"/>
            <w:bCs/>
            <w:color w:val="000000" w:themeColor="text1"/>
            <w:sz w:val="17"/>
            <w:szCs w:val="17"/>
            <w:u w:val="none"/>
            <w:lang w:val="en-IN"/>
          </w:rPr>
          <w:t>https://doi.org/10.1016/j.tplants.2008.11.001</w:t>
        </w:r>
      </w:hyperlink>
    </w:p>
    <w:p w14:paraId="35019F39"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Henderson, S. W., Baumann, U., Blackmore, D. H., Walker, A. R., Walker, R. R., &amp; </w:t>
      </w:r>
      <w:proofErr w:type="spellStart"/>
      <w:r w:rsidRPr="002F7029">
        <w:rPr>
          <w:rFonts w:ascii="Times New Roman" w:eastAsia="Times New Roman" w:hAnsi="Times New Roman" w:cs="Times New Roman"/>
          <w:bCs/>
          <w:color w:val="000000" w:themeColor="text1"/>
          <w:sz w:val="17"/>
          <w:szCs w:val="17"/>
          <w:lang w:val="en-IN"/>
        </w:rPr>
        <w:t>Gilliham</w:t>
      </w:r>
      <w:proofErr w:type="spellEnd"/>
      <w:r w:rsidRPr="002F7029">
        <w:rPr>
          <w:rFonts w:ascii="Times New Roman" w:eastAsia="Times New Roman" w:hAnsi="Times New Roman" w:cs="Times New Roman"/>
          <w:bCs/>
          <w:color w:val="000000" w:themeColor="text1"/>
          <w:sz w:val="17"/>
          <w:szCs w:val="17"/>
          <w:lang w:val="en-IN"/>
        </w:rPr>
        <w:t xml:space="preserve">, M. (2014). Shoot chloride exclusion and salt tolerance in grapevine is associated with differential ion transporter expression in roots. </w:t>
      </w:r>
      <w:r w:rsidRPr="002F7029">
        <w:rPr>
          <w:rFonts w:ascii="Times New Roman" w:eastAsia="Times New Roman" w:hAnsi="Times New Roman" w:cs="Times New Roman"/>
          <w:bCs/>
          <w:i/>
          <w:iCs/>
          <w:color w:val="000000" w:themeColor="text1"/>
          <w:sz w:val="17"/>
          <w:szCs w:val="17"/>
          <w:lang w:val="en-IN"/>
        </w:rPr>
        <w:t>BMC Plant Biology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14</w:t>
      </w:r>
      <w:r w:rsidRPr="002F7029">
        <w:rPr>
          <w:rFonts w:ascii="Times New Roman" w:eastAsia="Times New Roman" w:hAnsi="Times New Roman" w:cs="Times New Roman"/>
          <w:bCs/>
          <w:color w:val="000000" w:themeColor="text1"/>
          <w:sz w:val="17"/>
          <w:szCs w:val="17"/>
          <w:lang w:val="en-IN"/>
        </w:rPr>
        <w:t xml:space="preserve">(1), Article 273. </w:t>
      </w:r>
      <w:hyperlink r:id="rId87">
        <w:r w:rsidRPr="002F7029">
          <w:rPr>
            <w:rStyle w:val="Hyperlink"/>
            <w:rFonts w:ascii="Times New Roman" w:eastAsia="Times New Roman" w:hAnsi="Times New Roman" w:cs="Times New Roman"/>
            <w:bCs/>
            <w:color w:val="000000" w:themeColor="text1"/>
            <w:sz w:val="17"/>
            <w:szCs w:val="17"/>
            <w:u w:val="none"/>
            <w:lang w:val="en-IN"/>
          </w:rPr>
          <w:t>https://doi.org/10.1186/s12870-014-0273-8</w:t>
        </w:r>
      </w:hyperlink>
    </w:p>
    <w:p w14:paraId="1A460F6C"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Hong, C., Mueller, N. D., Burney, J. A., Zhang, Y., </w:t>
      </w:r>
      <w:proofErr w:type="spellStart"/>
      <w:r w:rsidRPr="002F7029">
        <w:rPr>
          <w:rFonts w:ascii="Times New Roman" w:eastAsia="Times New Roman" w:hAnsi="Times New Roman" w:cs="Times New Roman"/>
          <w:bCs/>
          <w:color w:val="000000" w:themeColor="text1"/>
          <w:sz w:val="17"/>
          <w:szCs w:val="17"/>
          <w:lang w:val="en-IN"/>
        </w:rPr>
        <w:t>AghaKouchak</w:t>
      </w:r>
      <w:proofErr w:type="spellEnd"/>
      <w:r w:rsidRPr="002F7029">
        <w:rPr>
          <w:rFonts w:ascii="Times New Roman" w:eastAsia="Times New Roman" w:hAnsi="Times New Roman" w:cs="Times New Roman"/>
          <w:bCs/>
          <w:color w:val="000000" w:themeColor="text1"/>
          <w:sz w:val="17"/>
          <w:szCs w:val="17"/>
          <w:lang w:val="en-IN"/>
        </w:rPr>
        <w:t xml:space="preserve">, A., Moore, F. C., Qin, Y., Tong, D., &amp; Davis, S. J. (2020). Impacts of ozone and climate change on yields of perennial crops in California. </w:t>
      </w:r>
      <w:r w:rsidRPr="002F7029">
        <w:rPr>
          <w:rFonts w:ascii="Times New Roman" w:eastAsia="Times New Roman" w:hAnsi="Times New Roman" w:cs="Times New Roman"/>
          <w:bCs/>
          <w:i/>
          <w:iCs/>
          <w:color w:val="000000" w:themeColor="text1"/>
          <w:sz w:val="17"/>
          <w:szCs w:val="17"/>
          <w:lang w:val="en-IN"/>
        </w:rPr>
        <w:t>Nature Food</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w:t>
      </w:r>
      <w:r w:rsidRPr="002F7029">
        <w:rPr>
          <w:rFonts w:ascii="Times New Roman" w:eastAsia="Times New Roman" w:hAnsi="Times New Roman" w:cs="Times New Roman"/>
          <w:bCs/>
          <w:color w:val="000000" w:themeColor="text1"/>
          <w:sz w:val="17"/>
          <w:szCs w:val="17"/>
          <w:lang w:val="en-IN"/>
        </w:rPr>
        <w:t xml:space="preserve">(3), 166–172. </w:t>
      </w:r>
      <w:hyperlink r:id="rId88">
        <w:r w:rsidRPr="002F7029">
          <w:rPr>
            <w:rStyle w:val="Hyperlink"/>
            <w:rFonts w:ascii="Times New Roman" w:eastAsia="Times New Roman" w:hAnsi="Times New Roman" w:cs="Times New Roman"/>
            <w:bCs/>
            <w:color w:val="000000" w:themeColor="text1"/>
            <w:sz w:val="17"/>
            <w:szCs w:val="17"/>
            <w:u w:val="none"/>
            <w:lang w:val="en-IN"/>
          </w:rPr>
          <w:t>https://doi.org/10.1038/s43016-020-0043-8</w:t>
        </w:r>
      </w:hyperlink>
    </w:p>
    <w:p w14:paraId="0CCA612D"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Iwata, H., </w:t>
      </w:r>
      <w:proofErr w:type="spellStart"/>
      <w:r w:rsidRPr="002F7029">
        <w:rPr>
          <w:rFonts w:ascii="Times New Roman" w:eastAsia="Times New Roman" w:hAnsi="Times New Roman" w:cs="Times New Roman"/>
          <w:bCs/>
          <w:color w:val="000000" w:themeColor="text1"/>
          <w:sz w:val="17"/>
          <w:szCs w:val="17"/>
          <w:lang w:val="en-IN"/>
        </w:rPr>
        <w:t>Minamikawa</w:t>
      </w:r>
      <w:proofErr w:type="spellEnd"/>
      <w:r w:rsidRPr="002F7029">
        <w:rPr>
          <w:rFonts w:ascii="Times New Roman" w:eastAsia="Times New Roman" w:hAnsi="Times New Roman" w:cs="Times New Roman"/>
          <w:bCs/>
          <w:color w:val="000000" w:themeColor="text1"/>
          <w:sz w:val="17"/>
          <w:szCs w:val="17"/>
          <w:lang w:val="en-IN"/>
        </w:rPr>
        <w:t>, M. F., Kajiya-</w:t>
      </w:r>
      <w:proofErr w:type="spellStart"/>
      <w:r w:rsidRPr="002F7029">
        <w:rPr>
          <w:rFonts w:ascii="Times New Roman" w:eastAsia="Times New Roman" w:hAnsi="Times New Roman" w:cs="Times New Roman"/>
          <w:bCs/>
          <w:color w:val="000000" w:themeColor="text1"/>
          <w:sz w:val="17"/>
          <w:szCs w:val="17"/>
          <w:lang w:val="en-IN"/>
        </w:rPr>
        <w:t>Kanegae</w:t>
      </w:r>
      <w:proofErr w:type="spellEnd"/>
      <w:r w:rsidRPr="002F7029">
        <w:rPr>
          <w:rFonts w:ascii="Times New Roman" w:eastAsia="Times New Roman" w:hAnsi="Times New Roman" w:cs="Times New Roman"/>
          <w:bCs/>
          <w:color w:val="000000" w:themeColor="text1"/>
          <w:sz w:val="17"/>
          <w:szCs w:val="17"/>
          <w:lang w:val="en-IN"/>
        </w:rPr>
        <w:t xml:space="preserve">, H., Ishimori, M., &amp; Hayashi, T. (2016). Genomics-assisted breeding in fruit trees. </w:t>
      </w:r>
      <w:r w:rsidRPr="002F7029">
        <w:rPr>
          <w:rFonts w:ascii="Times New Roman" w:eastAsia="Times New Roman" w:hAnsi="Times New Roman" w:cs="Times New Roman"/>
          <w:bCs/>
          <w:i/>
          <w:iCs/>
          <w:color w:val="000000" w:themeColor="text1"/>
          <w:sz w:val="17"/>
          <w:szCs w:val="17"/>
          <w:lang w:val="en-IN"/>
        </w:rPr>
        <w:t>Breeding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66</w:t>
      </w:r>
      <w:r w:rsidRPr="002F7029">
        <w:rPr>
          <w:rFonts w:ascii="Times New Roman" w:eastAsia="Times New Roman" w:hAnsi="Times New Roman" w:cs="Times New Roman"/>
          <w:bCs/>
          <w:color w:val="000000" w:themeColor="text1"/>
          <w:sz w:val="17"/>
          <w:szCs w:val="17"/>
          <w:lang w:val="en-IN"/>
        </w:rPr>
        <w:t xml:space="preserve">(1), 100–115. </w:t>
      </w:r>
      <w:hyperlink r:id="rId89">
        <w:r w:rsidRPr="002F7029">
          <w:rPr>
            <w:rStyle w:val="Hyperlink"/>
            <w:rFonts w:ascii="Times New Roman" w:eastAsia="Times New Roman" w:hAnsi="Times New Roman" w:cs="Times New Roman"/>
            <w:bCs/>
            <w:color w:val="000000" w:themeColor="text1"/>
            <w:sz w:val="17"/>
            <w:szCs w:val="17"/>
            <w:u w:val="none"/>
            <w:lang w:val="en-IN"/>
          </w:rPr>
          <w:t>https://doi.org/10.1270/jsbbs.66.100</w:t>
        </w:r>
      </w:hyperlink>
    </w:p>
    <w:p w14:paraId="4AFEC500"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Juillion</w:t>
      </w:r>
      <w:proofErr w:type="spellEnd"/>
      <w:r w:rsidRPr="002F7029">
        <w:rPr>
          <w:rFonts w:ascii="Times New Roman" w:eastAsia="Times New Roman" w:hAnsi="Times New Roman" w:cs="Times New Roman"/>
          <w:bCs/>
          <w:color w:val="000000" w:themeColor="text1"/>
          <w:sz w:val="17"/>
          <w:szCs w:val="17"/>
          <w:lang w:val="en-IN"/>
        </w:rPr>
        <w:t xml:space="preserve">, P., Lopez, G., Fumey, D., Lesniak, V., Génard, M., &amp; </w:t>
      </w:r>
      <w:proofErr w:type="spellStart"/>
      <w:r w:rsidRPr="002F7029">
        <w:rPr>
          <w:rFonts w:ascii="Times New Roman" w:eastAsia="Times New Roman" w:hAnsi="Times New Roman" w:cs="Times New Roman"/>
          <w:bCs/>
          <w:color w:val="000000" w:themeColor="text1"/>
          <w:sz w:val="17"/>
          <w:szCs w:val="17"/>
          <w:lang w:val="en-IN"/>
        </w:rPr>
        <w:t>Vercambre</w:t>
      </w:r>
      <w:proofErr w:type="spellEnd"/>
      <w:r w:rsidRPr="002F7029">
        <w:rPr>
          <w:rFonts w:ascii="Times New Roman" w:eastAsia="Times New Roman" w:hAnsi="Times New Roman" w:cs="Times New Roman"/>
          <w:bCs/>
          <w:color w:val="000000" w:themeColor="text1"/>
          <w:sz w:val="17"/>
          <w:szCs w:val="17"/>
          <w:lang w:val="en-IN"/>
        </w:rPr>
        <w:t xml:space="preserve">, G. (2022). Shading apple trees with an agrivoltaic system: Impact on water relations, leaf morphophysiological characteristics and yield determinants. </w:t>
      </w:r>
      <w:r w:rsidRPr="002F7029">
        <w:rPr>
          <w:rFonts w:ascii="Times New Roman" w:eastAsia="Times New Roman" w:hAnsi="Times New Roman" w:cs="Times New Roman"/>
          <w:bCs/>
          <w:i/>
          <w:iCs/>
          <w:color w:val="000000" w:themeColor="text1"/>
          <w:sz w:val="17"/>
          <w:szCs w:val="17"/>
          <w:lang w:val="en-IN"/>
        </w:rPr>
        <w:t xml:space="preserve">Scientia </w:t>
      </w:r>
      <w:proofErr w:type="spellStart"/>
      <w:r w:rsidRPr="002F7029">
        <w:rPr>
          <w:rFonts w:ascii="Times New Roman" w:eastAsia="Times New Roman" w:hAnsi="Times New Roman" w:cs="Times New Roman"/>
          <w:bCs/>
          <w:i/>
          <w:iCs/>
          <w:color w:val="000000" w:themeColor="text1"/>
          <w:sz w:val="17"/>
          <w:szCs w:val="17"/>
          <w:lang w:val="en-IN"/>
        </w:rPr>
        <w:t>Horticulturae</w:t>
      </w:r>
      <w:proofErr w:type="spellEnd"/>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306</w:t>
      </w:r>
      <w:r w:rsidRPr="002F7029">
        <w:rPr>
          <w:rFonts w:ascii="Times New Roman" w:eastAsia="Times New Roman" w:hAnsi="Times New Roman" w:cs="Times New Roman"/>
          <w:bCs/>
          <w:color w:val="000000" w:themeColor="text1"/>
          <w:sz w:val="17"/>
          <w:szCs w:val="17"/>
          <w:lang w:val="en-IN"/>
        </w:rPr>
        <w:t xml:space="preserve">, Article 111434. </w:t>
      </w:r>
      <w:hyperlink r:id="rId90">
        <w:r w:rsidRPr="002F7029">
          <w:rPr>
            <w:rStyle w:val="Hyperlink"/>
            <w:rFonts w:ascii="Times New Roman" w:eastAsia="Times New Roman" w:hAnsi="Times New Roman" w:cs="Times New Roman"/>
            <w:bCs/>
            <w:color w:val="000000" w:themeColor="text1"/>
            <w:sz w:val="17"/>
            <w:szCs w:val="17"/>
            <w:u w:val="none"/>
            <w:lang w:val="en-IN"/>
          </w:rPr>
          <w:t>https://doi.org/10.1016/j.scienta.2022.111434</w:t>
        </w:r>
      </w:hyperlink>
    </w:p>
    <w:p w14:paraId="2AD8800C"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Jung, M., Hodel, M., Knauf, A., Kupper, D., </w:t>
      </w:r>
      <w:proofErr w:type="spellStart"/>
      <w:r w:rsidRPr="002F7029">
        <w:rPr>
          <w:rFonts w:ascii="Times New Roman" w:eastAsia="Times New Roman" w:hAnsi="Times New Roman" w:cs="Times New Roman"/>
          <w:bCs/>
          <w:color w:val="000000" w:themeColor="text1"/>
          <w:sz w:val="17"/>
          <w:szCs w:val="17"/>
          <w:lang w:val="en-IN"/>
        </w:rPr>
        <w:t>Neuditschko</w:t>
      </w:r>
      <w:proofErr w:type="spellEnd"/>
      <w:r w:rsidRPr="002F7029">
        <w:rPr>
          <w:rFonts w:ascii="Times New Roman" w:eastAsia="Times New Roman" w:hAnsi="Times New Roman" w:cs="Times New Roman"/>
          <w:bCs/>
          <w:color w:val="000000" w:themeColor="text1"/>
          <w:sz w:val="17"/>
          <w:szCs w:val="17"/>
          <w:lang w:val="en-IN"/>
        </w:rPr>
        <w:t xml:space="preserve">, M., </w:t>
      </w:r>
      <w:proofErr w:type="spellStart"/>
      <w:r w:rsidRPr="002F7029">
        <w:rPr>
          <w:rFonts w:ascii="Times New Roman" w:eastAsia="Times New Roman" w:hAnsi="Times New Roman" w:cs="Times New Roman"/>
          <w:bCs/>
          <w:color w:val="000000" w:themeColor="text1"/>
          <w:sz w:val="17"/>
          <w:szCs w:val="17"/>
          <w:lang w:val="en-IN"/>
        </w:rPr>
        <w:t>Bühlmann</w:t>
      </w:r>
      <w:proofErr w:type="spellEnd"/>
      <w:r w:rsidRPr="002F7029">
        <w:rPr>
          <w:rFonts w:ascii="Times New Roman" w:eastAsia="Times New Roman" w:hAnsi="Times New Roman" w:cs="Times New Roman"/>
          <w:bCs/>
          <w:color w:val="000000" w:themeColor="text1"/>
          <w:sz w:val="17"/>
          <w:szCs w:val="17"/>
          <w:lang w:val="en-IN"/>
        </w:rPr>
        <w:t xml:space="preserve">-Schütz, S., Studer, B., </w:t>
      </w:r>
      <w:proofErr w:type="spellStart"/>
      <w:r w:rsidRPr="002F7029">
        <w:rPr>
          <w:rFonts w:ascii="Times New Roman" w:eastAsia="Times New Roman" w:hAnsi="Times New Roman" w:cs="Times New Roman"/>
          <w:bCs/>
          <w:color w:val="000000" w:themeColor="text1"/>
          <w:sz w:val="17"/>
          <w:szCs w:val="17"/>
          <w:lang w:val="en-IN"/>
        </w:rPr>
        <w:t>Patocchi</w:t>
      </w:r>
      <w:proofErr w:type="spellEnd"/>
      <w:r w:rsidRPr="002F7029">
        <w:rPr>
          <w:rFonts w:ascii="Times New Roman" w:eastAsia="Times New Roman" w:hAnsi="Times New Roman" w:cs="Times New Roman"/>
          <w:bCs/>
          <w:color w:val="000000" w:themeColor="text1"/>
          <w:sz w:val="17"/>
          <w:szCs w:val="17"/>
          <w:lang w:val="en-IN"/>
        </w:rPr>
        <w:t xml:space="preserve">, A., &amp; Broggini, G. A. L. (2025). Evaluation of genomic and </w:t>
      </w:r>
      <w:proofErr w:type="spellStart"/>
      <w:r w:rsidRPr="002F7029">
        <w:rPr>
          <w:rFonts w:ascii="Times New Roman" w:eastAsia="Times New Roman" w:hAnsi="Times New Roman" w:cs="Times New Roman"/>
          <w:bCs/>
          <w:color w:val="000000" w:themeColor="text1"/>
          <w:sz w:val="17"/>
          <w:szCs w:val="17"/>
          <w:lang w:val="en-IN"/>
        </w:rPr>
        <w:t>phenomic</w:t>
      </w:r>
      <w:proofErr w:type="spellEnd"/>
      <w:r w:rsidRPr="002F7029">
        <w:rPr>
          <w:rFonts w:ascii="Times New Roman" w:eastAsia="Times New Roman" w:hAnsi="Times New Roman" w:cs="Times New Roman"/>
          <w:bCs/>
          <w:color w:val="000000" w:themeColor="text1"/>
          <w:sz w:val="17"/>
          <w:szCs w:val="17"/>
          <w:lang w:val="en-IN"/>
        </w:rPr>
        <w:t xml:space="preserve"> prediction for application in apple breeding. </w:t>
      </w:r>
      <w:r w:rsidRPr="002F7029">
        <w:rPr>
          <w:rFonts w:ascii="Times New Roman" w:eastAsia="Times New Roman" w:hAnsi="Times New Roman" w:cs="Times New Roman"/>
          <w:bCs/>
          <w:i/>
          <w:iCs/>
          <w:color w:val="000000" w:themeColor="text1"/>
          <w:sz w:val="17"/>
          <w:szCs w:val="17"/>
          <w:lang w:val="en-IN"/>
        </w:rPr>
        <w:t>BMC Plant Biology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25</w:t>
      </w:r>
      <w:r w:rsidRPr="002F7029">
        <w:rPr>
          <w:rFonts w:ascii="Times New Roman" w:eastAsia="Times New Roman" w:hAnsi="Times New Roman" w:cs="Times New Roman"/>
          <w:bCs/>
          <w:color w:val="000000" w:themeColor="text1"/>
          <w:sz w:val="17"/>
          <w:szCs w:val="17"/>
          <w:lang w:val="en-IN"/>
        </w:rPr>
        <w:t xml:space="preserve">(1), Article 103. </w:t>
      </w:r>
      <w:hyperlink r:id="rId91">
        <w:r w:rsidRPr="002F7029">
          <w:rPr>
            <w:rStyle w:val="Hyperlink"/>
            <w:rFonts w:ascii="Times New Roman" w:eastAsia="Times New Roman" w:hAnsi="Times New Roman" w:cs="Times New Roman"/>
            <w:bCs/>
            <w:color w:val="000000" w:themeColor="text1"/>
            <w:sz w:val="17"/>
            <w:szCs w:val="17"/>
            <w:u w:val="none"/>
            <w:lang w:val="en-IN"/>
          </w:rPr>
          <w:t>https://doi.org/10.1186/s12870-025-06104-w</w:t>
        </w:r>
      </w:hyperlink>
    </w:p>
    <w:p w14:paraId="4EB5072D"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Jung, M., Keller, B., Roth, M., </w:t>
      </w:r>
      <w:proofErr w:type="spellStart"/>
      <w:r w:rsidRPr="002F7029">
        <w:rPr>
          <w:rFonts w:ascii="Times New Roman" w:eastAsia="Times New Roman" w:hAnsi="Times New Roman" w:cs="Times New Roman"/>
          <w:bCs/>
          <w:color w:val="000000" w:themeColor="text1"/>
          <w:sz w:val="17"/>
          <w:szCs w:val="17"/>
          <w:lang w:val="en-IN"/>
        </w:rPr>
        <w:t>Aranzana</w:t>
      </w:r>
      <w:proofErr w:type="spellEnd"/>
      <w:r w:rsidRPr="002F7029">
        <w:rPr>
          <w:rFonts w:ascii="Times New Roman" w:eastAsia="Times New Roman" w:hAnsi="Times New Roman" w:cs="Times New Roman"/>
          <w:bCs/>
          <w:color w:val="000000" w:themeColor="text1"/>
          <w:sz w:val="17"/>
          <w:szCs w:val="17"/>
          <w:lang w:val="en-IN"/>
        </w:rPr>
        <w:t xml:space="preserve">, M. J., </w:t>
      </w:r>
      <w:proofErr w:type="spellStart"/>
      <w:r w:rsidRPr="002F7029">
        <w:rPr>
          <w:rFonts w:ascii="Times New Roman" w:eastAsia="Times New Roman" w:hAnsi="Times New Roman" w:cs="Times New Roman"/>
          <w:bCs/>
          <w:color w:val="000000" w:themeColor="text1"/>
          <w:sz w:val="17"/>
          <w:szCs w:val="17"/>
          <w:lang w:val="en-IN"/>
        </w:rPr>
        <w:t>Auwerkerken</w:t>
      </w:r>
      <w:proofErr w:type="spellEnd"/>
      <w:r w:rsidRPr="002F7029">
        <w:rPr>
          <w:rFonts w:ascii="Times New Roman" w:eastAsia="Times New Roman" w:hAnsi="Times New Roman" w:cs="Times New Roman"/>
          <w:bCs/>
          <w:color w:val="000000" w:themeColor="text1"/>
          <w:sz w:val="17"/>
          <w:szCs w:val="17"/>
          <w:lang w:val="en-IN"/>
        </w:rPr>
        <w:t>, A., Guerra, W., Al-</w:t>
      </w:r>
      <w:proofErr w:type="spellStart"/>
      <w:r w:rsidRPr="002F7029">
        <w:rPr>
          <w:rFonts w:ascii="Times New Roman" w:eastAsia="Times New Roman" w:hAnsi="Times New Roman" w:cs="Times New Roman"/>
          <w:bCs/>
          <w:color w:val="000000" w:themeColor="text1"/>
          <w:sz w:val="17"/>
          <w:szCs w:val="17"/>
          <w:lang w:val="en-IN"/>
        </w:rPr>
        <w:t>Rifaï</w:t>
      </w:r>
      <w:proofErr w:type="spellEnd"/>
      <w:r w:rsidRPr="002F7029">
        <w:rPr>
          <w:rFonts w:ascii="Times New Roman" w:eastAsia="Times New Roman" w:hAnsi="Times New Roman" w:cs="Times New Roman"/>
          <w:bCs/>
          <w:color w:val="000000" w:themeColor="text1"/>
          <w:sz w:val="17"/>
          <w:szCs w:val="17"/>
          <w:lang w:val="en-IN"/>
        </w:rPr>
        <w:t xml:space="preserve">, M., Lewandowski, M., Sanin, N., </w:t>
      </w:r>
      <w:proofErr w:type="spellStart"/>
      <w:r w:rsidRPr="002F7029">
        <w:rPr>
          <w:rFonts w:ascii="Times New Roman" w:eastAsia="Times New Roman" w:hAnsi="Times New Roman" w:cs="Times New Roman"/>
          <w:bCs/>
          <w:color w:val="000000" w:themeColor="text1"/>
          <w:sz w:val="17"/>
          <w:szCs w:val="17"/>
          <w:lang w:val="en-IN"/>
        </w:rPr>
        <w:t>Rymenants</w:t>
      </w:r>
      <w:proofErr w:type="spellEnd"/>
      <w:r w:rsidRPr="002F7029">
        <w:rPr>
          <w:rFonts w:ascii="Times New Roman" w:eastAsia="Times New Roman" w:hAnsi="Times New Roman" w:cs="Times New Roman"/>
          <w:bCs/>
          <w:color w:val="000000" w:themeColor="text1"/>
          <w:sz w:val="17"/>
          <w:szCs w:val="17"/>
          <w:lang w:val="en-IN"/>
        </w:rPr>
        <w:t xml:space="preserve">, M., Didelot, F., </w:t>
      </w:r>
      <w:proofErr w:type="spellStart"/>
      <w:r w:rsidRPr="002F7029">
        <w:rPr>
          <w:rFonts w:ascii="Times New Roman" w:eastAsia="Times New Roman" w:hAnsi="Times New Roman" w:cs="Times New Roman"/>
          <w:bCs/>
          <w:color w:val="000000" w:themeColor="text1"/>
          <w:sz w:val="17"/>
          <w:szCs w:val="17"/>
          <w:lang w:val="en-IN"/>
        </w:rPr>
        <w:t>Dujak</w:t>
      </w:r>
      <w:proofErr w:type="spellEnd"/>
      <w:r w:rsidRPr="002F7029">
        <w:rPr>
          <w:rFonts w:ascii="Times New Roman" w:eastAsia="Times New Roman" w:hAnsi="Times New Roman" w:cs="Times New Roman"/>
          <w:bCs/>
          <w:color w:val="000000" w:themeColor="text1"/>
          <w:sz w:val="17"/>
          <w:szCs w:val="17"/>
          <w:lang w:val="en-IN"/>
        </w:rPr>
        <w:t xml:space="preserve">, C., Font </w:t>
      </w:r>
      <w:proofErr w:type="spellStart"/>
      <w:r w:rsidRPr="002F7029">
        <w:rPr>
          <w:rFonts w:ascii="Times New Roman" w:eastAsia="Times New Roman" w:hAnsi="Times New Roman" w:cs="Times New Roman"/>
          <w:bCs/>
          <w:color w:val="000000" w:themeColor="text1"/>
          <w:sz w:val="17"/>
          <w:szCs w:val="17"/>
          <w:lang w:val="en-IN"/>
        </w:rPr>
        <w:t>i</w:t>
      </w:r>
      <w:proofErr w:type="spellEnd"/>
      <w:r w:rsidRPr="002F7029">
        <w:rPr>
          <w:rFonts w:ascii="Times New Roman" w:eastAsia="Times New Roman" w:hAnsi="Times New Roman" w:cs="Times New Roman"/>
          <w:bCs/>
          <w:color w:val="000000" w:themeColor="text1"/>
          <w:sz w:val="17"/>
          <w:szCs w:val="17"/>
          <w:lang w:val="en-IN"/>
        </w:rPr>
        <w:t xml:space="preserve"> Forcada, C., Knauf, A., Laurens, F., Studer, B., </w:t>
      </w:r>
      <w:proofErr w:type="spellStart"/>
      <w:r w:rsidRPr="002F7029">
        <w:rPr>
          <w:rFonts w:ascii="Times New Roman" w:eastAsia="Times New Roman" w:hAnsi="Times New Roman" w:cs="Times New Roman"/>
          <w:bCs/>
          <w:color w:val="000000" w:themeColor="text1"/>
          <w:sz w:val="17"/>
          <w:szCs w:val="17"/>
          <w:lang w:val="en-IN"/>
        </w:rPr>
        <w:t>Muranty</w:t>
      </w:r>
      <w:proofErr w:type="spellEnd"/>
      <w:r w:rsidRPr="002F7029">
        <w:rPr>
          <w:rFonts w:ascii="Times New Roman" w:eastAsia="Times New Roman" w:hAnsi="Times New Roman" w:cs="Times New Roman"/>
          <w:bCs/>
          <w:color w:val="000000" w:themeColor="text1"/>
          <w:sz w:val="17"/>
          <w:szCs w:val="17"/>
          <w:lang w:val="en-IN"/>
        </w:rPr>
        <w:t xml:space="preserve">, H., &amp; </w:t>
      </w:r>
      <w:proofErr w:type="spellStart"/>
      <w:r w:rsidRPr="002F7029">
        <w:rPr>
          <w:rFonts w:ascii="Times New Roman" w:eastAsia="Times New Roman" w:hAnsi="Times New Roman" w:cs="Times New Roman"/>
          <w:bCs/>
          <w:color w:val="000000" w:themeColor="text1"/>
          <w:sz w:val="17"/>
          <w:szCs w:val="17"/>
          <w:lang w:val="en-IN"/>
        </w:rPr>
        <w:t>Patocchi</w:t>
      </w:r>
      <w:proofErr w:type="spellEnd"/>
      <w:r w:rsidRPr="002F7029">
        <w:rPr>
          <w:rFonts w:ascii="Times New Roman" w:eastAsia="Times New Roman" w:hAnsi="Times New Roman" w:cs="Times New Roman"/>
          <w:bCs/>
          <w:color w:val="000000" w:themeColor="text1"/>
          <w:sz w:val="17"/>
          <w:szCs w:val="17"/>
          <w:lang w:val="en-IN"/>
        </w:rPr>
        <w:t xml:space="preserve">, A. (2022). Genetic architecture and genomic predictive ability of apple quantitative traits across environments. </w:t>
      </w:r>
      <w:r w:rsidRPr="002F7029">
        <w:rPr>
          <w:rFonts w:ascii="Times New Roman" w:eastAsia="Times New Roman" w:hAnsi="Times New Roman" w:cs="Times New Roman"/>
          <w:bCs/>
          <w:i/>
          <w:iCs/>
          <w:color w:val="000000" w:themeColor="text1"/>
          <w:sz w:val="17"/>
          <w:szCs w:val="17"/>
          <w:lang w:val="en-IN"/>
        </w:rPr>
        <w:t>Horticulture Research</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9</w:t>
      </w:r>
      <w:r w:rsidRPr="002F7029">
        <w:rPr>
          <w:rFonts w:ascii="Times New Roman" w:eastAsia="Times New Roman" w:hAnsi="Times New Roman" w:cs="Times New Roman"/>
          <w:bCs/>
          <w:color w:val="000000" w:themeColor="text1"/>
          <w:sz w:val="17"/>
          <w:szCs w:val="17"/>
          <w:lang w:val="en-IN"/>
        </w:rPr>
        <w:t xml:space="preserve">, Article uhac028. </w:t>
      </w:r>
      <w:hyperlink r:id="rId92">
        <w:r w:rsidRPr="002F7029">
          <w:rPr>
            <w:rStyle w:val="Hyperlink"/>
            <w:rFonts w:ascii="Times New Roman" w:eastAsia="Times New Roman" w:hAnsi="Times New Roman" w:cs="Times New Roman"/>
            <w:bCs/>
            <w:color w:val="000000" w:themeColor="text1"/>
            <w:sz w:val="17"/>
            <w:szCs w:val="17"/>
            <w:u w:val="none"/>
            <w:lang w:val="en-IN"/>
          </w:rPr>
          <w:t>https://doi.org/10.1093/hr/uhac028</w:t>
        </w:r>
      </w:hyperlink>
    </w:p>
    <w:p w14:paraId="11E139BE"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lastRenderedPageBreak/>
        <w:t xml:space="preserve">Jung, M., Roth, M., </w:t>
      </w:r>
      <w:proofErr w:type="spellStart"/>
      <w:r w:rsidRPr="002F7029">
        <w:rPr>
          <w:rFonts w:ascii="Times New Roman" w:eastAsia="Times New Roman" w:hAnsi="Times New Roman" w:cs="Times New Roman"/>
          <w:bCs/>
          <w:color w:val="000000" w:themeColor="text1"/>
          <w:sz w:val="17"/>
          <w:szCs w:val="17"/>
          <w:lang w:val="en-IN"/>
        </w:rPr>
        <w:t>Aranzana</w:t>
      </w:r>
      <w:proofErr w:type="spellEnd"/>
      <w:r w:rsidRPr="002F7029">
        <w:rPr>
          <w:rFonts w:ascii="Times New Roman" w:eastAsia="Times New Roman" w:hAnsi="Times New Roman" w:cs="Times New Roman"/>
          <w:bCs/>
          <w:color w:val="000000" w:themeColor="text1"/>
          <w:sz w:val="17"/>
          <w:szCs w:val="17"/>
          <w:lang w:val="en-IN"/>
        </w:rPr>
        <w:t xml:space="preserve">, M. J., </w:t>
      </w:r>
      <w:proofErr w:type="spellStart"/>
      <w:r w:rsidRPr="002F7029">
        <w:rPr>
          <w:rFonts w:ascii="Times New Roman" w:eastAsia="Times New Roman" w:hAnsi="Times New Roman" w:cs="Times New Roman"/>
          <w:bCs/>
          <w:color w:val="000000" w:themeColor="text1"/>
          <w:sz w:val="17"/>
          <w:szCs w:val="17"/>
          <w:lang w:val="en-IN"/>
        </w:rPr>
        <w:t>Auwerkerken</w:t>
      </w:r>
      <w:proofErr w:type="spellEnd"/>
      <w:r w:rsidRPr="002F7029">
        <w:rPr>
          <w:rFonts w:ascii="Times New Roman" w:eastAsia="Times New Roman" w:hAnsi="Times New Roman" w:cs="Times New Roman"/>
          <w:bCs/>
          <w:color w:val="000000" w:themeColor="text1"/>
          <w:sz w:val="17"/>
          <w:szCs w:val="17"/>
          <w:lang w:val="en-IN"/>
        </w:rPr>
        <w:t xml:space="preserve">, A., Bink, M., Denancé, C., </w:t>
      </w:r>
      <w:proofErr w:type="spellStart"/>
      <w:r w:rsidRPr="002F7029">
        <w:rPr>
          <w:rFonts w:ascii="Times New Roman" w:eastAsia="Times New Roman" w:hAnsi="Times New Roman" w:cs="Times New Roman"/>
          <w:bCs/>
          <w:color w:val="000000" w:themeColor="text1"/>
          <w:sz w:val="17"/>
          <w:szCs w:val="17"/>
          <w:lang w:val="en-IN"/>
        </w:rPr>
        <w:t>Dujak</w:t>
      </w:r>
      <w:proofErr w:type="spellEnd"/>
      <w:r w:rsidRPr="002F7029">
        <w:rPr>
          <w:rFonts w:ascii="Times New Roman" w:eastAsia="Times New Roman" w:hAnsi="Times New Roman" w:cs="Times New Roman"/>
          <w:bCs/>
          <w:color w:val="000000" w:themeColor="text1"/>
          <w:sz w:val="17"/>
          <w:szCs w:val="17"/>
          <w:lang w:val="en-IN"/>
        </w:rPr>
        <w:t xml:space="preserve">, C., Durel, C.-E., Font </w:t>
      </w:r>
      <w:proofErr w:type="spellStart"/>
      <w:r w:rsidRPr="002F7029">
        <w:rPr>
          <w:rFonts w:ascii="Times New Roman" w:eastAsia="Times New Roman" w:hAnsi="Times New Roman" w:cs="Times New Roman"/>
          <w:bCs/>
          <w:color w:val="000000" w:themeColor="text1"/>
          <w:sz w:val="17"/>
          <w:szCs w:val="17"/>
          <w:lang w:val="en-IN"/>
        </w:rPr>
        <w:t>i</w:t>
      </w:r>
      <w:proofErr w:type="spellEnd"/>
      <w:r w:rsidRPr="002F7029">
        <w:rPr>
          <w:rFonts w:ascii="Times New Roman" w:eastAsia="Times New Roman" w:hAnsi="Times New Roman" w:cs="Times New Roman"/>
          <w:bCs/>
          <w:color w:val="000000" w:themeColor="text1"/>
          <w:sz w:val="17"/>
          <w:szCs w:val="17"/>
          <w:lang w:val="en-IN"/>
        </w:rPr>
        <w:t xml:space="preserve"> Forcada, C., Cantin, C. M., Guerra, W., Howard, N. P., Keller, B., Lewandowski, M., </w:t>
      </w:r>
      <w:proofErr w:type="spellStart"/>
      <w:r w:rsidRPr="002F7029">
        <w:rPr>
          <w:rFonts w:ascii="Times New Roman" w:eastAsia="Times New Roman" w:hAnsi="Times New Roman" w:cs="Times New Roman"/>
          <w:bCs/>
          <w:color w:val="000000" w:themeColor="text1"/>
          <w:sz w:val="17"/>
          <w:szCs w:val="17"/>
          <w:lang w:val="en-IN"/>
        </w:rPr>
        <w:t>Ordidge</w:t>
      </w:r>
      <w:proofErr w:type="spellEnd"/>
      <w:r w:rsidRPr="002F7029">
        <w:rPr>
          <w:rFonts w:ascii="Times New Roman" w:eastAsia="Times New Roman" w:hAnsi="Times New Roman" w:cs="Times New Roman"/>
          <w:bCs/>
          <w:color w:val="000000" w:themeColor="text1"/>
          <w:sz w:val="17"/>
          <w:szCs w:val="17"/>
          <w:lang w:val="en-IN"/>
        </w:rPr>
        <w:t xml:space="preserve">, M., </w:t>
      </w:r>
      <w:proofErr w:type="spellStart"/>
      <w:r w:rsidRPr="002F7029">
        <w:rPr>
          <w:rFonts w:ascii="Times New Roman" w:eastAsia="Times New Roman" w:hAnsi="Times New Roman" w:cs="Times New Roman"/>
          <w:bCs/>
          <w:color w:val="000000" w:themeColor="text1"/>
          <w:sz w:val="17"/>
          <w:szCs w:val="17"/>
          <w:lang w:val="en-IN"/>
        </w:rPr>
        <w:t>Rymenants</w:t>
      </w:r>
      <w:proofErr w:type="spellEnd"/>
      <w:r w:rsidRPr="002F7029">
        <w:rPr>
          <w:rFonts w:ascii="Times New Roman" w:eastAsia="Times New Roman" w:hAnsi="Times New Roman" w:cs="Times New Roman"/>
          <w:bCs/>
          <w:color w:val="000000" w:themeColor="text1"/>
          <w:sz w:val="17"/>
          <w:szCs w:val="17"/>
          <w:lang w:val="en-IN"/>
        </w:rPr>
        <w:t xml:space="preserve">, M., Sanin, N., Studer, B., </w:t>
      </w:r>
      <w:proofErr w:type="spellStart"/>
      <w:r w:rsidRPr="002F7029">
        <w:rPr>
          <w:rFonts w:ascii="Times New Roman" w:eastAsia="Times New Roman" w:hAnsi="Times New Roman" w:cs="Times New Roman"/>
          <w:bCs/>
          <w:color w:val="000000" w:themeColor="text1"/>
          <w:sz w:val="17"/>
          <w:szCs w:val="17"/>
          <w:lang w:val="en-IN"/>
        </w:rPr>
        <w:t>Zurawicz</w:t>
      </w:r>
      <w:proofErr w:type="spellEnd"/>
      <w:r w:rsidRPr="002F7029">
        <w:rPr>
          <w:rFonts w:ascii="Times New Roman" w:eastAsia="Times New Roman" w:hAnsi="Times New Roman" w:cs="Times New Roman"/>
          <w:bCs/>
          <w:color w:val="000000" w:themeColor="text1"/>
          <w:sz w:val="17"/>
          <w:szCs w:val="17"/>
          <w:lang w:val="en-IN"/>
        </w:rPr>
        <w:t xml:space="preserve">, E., . . . </w:t>
      </w:r>
      <w:proofErr w:type="spellStart"/>
      <w:r w:rsidRPr="002F7029">
        <w:rPr>
          <w:rFonts w:ascii="Times New Roman" w:eastAsia="Times New Roman" w:hAnsi="Times New Roman" w:cs="Times New Roman"/>
          <w:bCs/>
          <w:color w:val="000000" w:themeColor="text1"/>
          <w:sz w:val="17"/>
          <w:szCs w:val="17"/>
          <w:lang w:val="en-IN"/>
        </w:rPr>
        <w:t>Muranty</w:t>
      </w:r>
      <w:proofErr w:type="spellEnd"/>
      <w:r w:rsidRPr="002F7029">
        <w:rPr>
          <w:rFonts w:ascii="Times New Roman" w:eastAsia="Times New Roman" w:hAnsi="Times New Roman" w:cs="Times New Roman"/>
          <w:bCs/>
          <w:color w:val="000000" w:themeColor="text1"/>
          <w:sz w:val="17"/>
          <w:szCs w:val="17"/>
          <w:lang w:val="en-IN"/>
        </w:rPr>
        <w:t xml:space="preserve">, H. (2020). The apple REFPOP—a reference population for genomics-assisted breeding in apple. </w:t>
      </w:r>
      <w:r w:rsidRPr="002F7029">
        <w:rPr>
          <w:rFonts w:ascii="Times New Roman" w:eastAsia="Times New Roman" w:hAnsi="Times New Roman" w:cs="Times New Roman"/>
          <w:bCs/>
          <w:i/>
          <w:iCs/>
          <w:color w:val="000000" w:themeColor="text1"/>
          <w:sz w:val="17"/>
          <w:szCs w:val="17"/>
          <w:lang w:val="en-IN"/>
        </w:rPr>
        <w:t>Horticulture Research</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7</w:t>
      </w:r>
      <w:r w:rsidRPr="002F7029">
        <w:rPr>
          <w:rFonts w:ascii="Times New Roman" w:eastAsia="Times New Roman" w:hAnsi="Times New Roman" w:cs="Times New Roman"/>
          <w:bCs/>
          <w:color w:val="000000" w:themeColor="text1"/>
          <w:sz w:val="17"/>
          <w:szCs w:val="17"/>
          <w:lang w:val="en-IN"/>
        </w:rPr>
        <w:t xml:space="preserve">(1), Article 189. </w:t>
      </w:r>
      <w:hyperlink r:id="rId93">
        <w:r w:rsidRPr="002F7029">
          <w:rPr>
            <w:rStyle w:val="Hyperlink"/>
            <w:rFonts w:ascii="Times New Roman" w:eastAsia="Times New Roman" w:hAnsi="Times New Roman" w:cs="Times New Roman"/>
            <w:bCs/>
            <w:color w:val="000000" w:themeColor="text1"/>
            <w:sz w:val="17"/>
            <w:szCs w:val="17"/>
            <w:u w:val="none"/>
            <w:lang w:val="en-IN"/>
          </w:rPr>
          <w:t>https://doi.org/10.1038/s41438-020-00408-8</w:t>
        </w:r>
      </w:hyperlink>
    </w:p>
    <w:p w14:paraId="0870F330"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Kalcsits</w:t>
      </w:r>
      <w:proofErr w:type="spellEnd"/>
      <w:r w:rsidRPr="002F7029">
        <w:rPr>
          <w:rFonts w:ascii="Times New Roman" w:eastAsia="Times New Roman" w:hAnsi="Times New Roman" w:cs="Times New Roman"/>
          <w:bCs/>
          <w:color w:val="000000" w:themeColor="text1"/>
          <w:sz w:val="17"/>
          <w:szCs w:val="17"/>
          <w:lang w:val="en-IN"/>
        </w:rPr>
        <w:t xml:space="preserve">, L., </w:t>
      </w:r>
      <w:proofErr w:type="spellStart"/>
      <w:r w:rsidRPr="002F7029">
        <w:rPr>
          <w:rFonts w:ascii="Times New Roman" w:eastAsia="Times New Roman" w:hAnsi="Times New Roman" w:cs="Times New Roman"/>
          <w:bCs/>
          <w:color w:val="000000" w:themeColor="text1"/>
          <w:sz w:val="17"/>
          <w:szCs w:val="17"/>
          <w:lang w:val="en-IN"/>
        </w:rPr>
        <w:t>Musacchi</w:t>
      </w:r>
      <w:proofErr w:type="spellEnd"/>
      <w:r w:rsidRPr="002F7029">
        <w:rPr>
          <w:rFonts w:ascii="Times New Roman" w:eastAsia="Times New Roman" w:hAnsi="Times New Roman" w:cs="Times New Roman"/>
          <w:bCs/>
          <w:color w:val="000000" w:themeColor="text1"/>
          <w:sz w:val="17"/>
          <w:szCs w:val="17"/>
          <w:lang w:val="en-IN"/>
        </w:rPr>
        <w:t xml:space="preserve">, S., Layne, D. R., Schmidt, T., </w:t>
      </w:r>
      <w:proofErr w:type="spellStart"/>
      <w:r w:rsidRPr="002F7029">
        <w:rPr>
          <w:rFonts w:ascii="Times New Roman" w:eastAsia="Times New Roman" w:hAnsi="Times New Roman" w:cs="Times New Roman"/>
          <w:bCs/>
          <w:color w:val="000000" w:themeColor="text1"/>
          <w:sz w:val="17"/>
          <w:szCs w:val="17"/>
          <w:lang w:val="en-IN"/>
        </w:rPr>
        <w:t>Mupambi</w:t>
      </w:r>
      <w:proofErr w:type="spellEnd"/>
      <w:r w:rsidRPr="002F7029">
        <w:rPr>
          <w:rFonts w:ascii="Times New Roman" w:eastAsia="Times New Roman" w:hAnsi="Times New Roman" w:cs="Times New Roman"/>
          <w:bCs/>
          <w:color w:val="000000" w:themeColor="text1"/>
          <w:sz w:val="17"/>
          <w:szCs w:val="17"/>
          <w:lang w:val="en-IN"/>
        </w:rPr>
        <w:t xml:space="preserve">, G., Serra, S., Mendoza, M., </w:t>
      </w:r>
      <w:proofErr w:type="spellStart"/>
      <w:r w:rsidRPr="002F7029">
        <w:rPr>
          <w:rFonts w:ascii="Times New Roman" w:eastAsia="Times New Roman" w:hAnsi="Times New Roman" w:cs="Times New Roman"/>
          <w:bCs/>
          <w:color w:val="000000" w:themeColor="text1"/>
          <w:sz w:val="17"/>
          <w:szCs w:val="17"/>
          <w:lang w:val="en-IN"/>
        </w:rPr>
        <w:t>Asteggiano</w:t>
      </w:r>
      <w:proofErr w:type="spellEnd"/>
      <w:r w:rsidRPr="002F7029">
        <w:rPr>
          <w:rFonts w:ascii="Times New Roman" w:eastAsia="Times New Roman" w:hAnsi="Times New Roman" w:cs="Times New Roman"/>
          <w:bCs/>
          <w:color w:val="000000" w:themeColor="text1"/>
          <w:sz w:val="17"/>
          <w:szCs w:val="17"/>
          <w:lang w:val="en-IN"/>
        </w:rPr>
        <w:t xml:space="preserve">, L., </w:t>
      </w:r>
      <w:proofErr w:type="spellStart"/>
      <w:r w:rsidRPr="002F7029">
        <w:rPr>
          <w:rFonts w:ascii="Times New Roman" w:eastAsia="Times New Roman" w:hAnsi="Times New Roman" w:cs="Times New Roman"/>
          <w:bCs/>
          <w:color w:val="000000" w:themeColor="text1"/>
          <w:sz w:val="17"/>
          <w:szCs w:val="17"/>
          <w:lang w:val="en-IN"/>
        </w:rPr>
        <w:t>Jarolmasjed</w:t>
      </w:r>
      <w:proofErr w:type="spellEnd"/>
      <w:r w:rsidRPr="002F7029">
        <w:rPr>
          <w:rFonts w:ascii="Times New Roman" w:eastAsia="Times New Roman" w:hAnsi="Times New Roman" w:cs="Times New Roman"/>
          <w:bCs/>
          <w:color w:val="000000" w:themeColor="text1"/>
          <w:sz w:val="17"/>
          <w:szCs w:val="17"/>
          <w:lang w:val="en-IN"/>
        </w:rPr>
        <w:t xml:space="preserve">, S., Sankaran, S., Khot, L. R., &amp; Espinoza, C. Z. (2017). Above and below-ground environmental changes associated with the use of </w:t>
      </w:r>
      <w:proofErr w:type="spellStart"/>
      <w:r w:rsidRPr="002F7029">
        <w:rPr>
          <w:rFonts w:ascii="Times New Roman" w:eastAsia="Times New Roman" w:hAnsi="Times New Roman" w:cs="Times New Roman"/>
          <w:bCs/>
          <w:color w:val="000000" w:themeColor="text1"/>
          <w:sz w:val="17"/>
          <w:szCs w:val="17"/>
          <w:lang w:val="en-IN"/>
        </w:rPr>
        <w:t>photoselective</w:t>
      </w:r>
      <w:proofErr w:type="spellEnd"/>
      <w:r w:rsidRPr="002F7029">
        <w:rPr>
          <w:rFonts w:ascii="Times New Roman" w:eastAsia="Times New Roman" w:hAnsi="Times New Roman" w:cs="Times New Roman"/>
          <w:bCs/>
          <w:color w:val="000000" w:themeColor="text1"/>
          <w:sz w:val="17"/>
          <w:szCs w:val="17"/>
          <w:lang w:val="en-IN"/>
        </w:rPr>
        <w:t xml:space="preserve"> protective netting to reduce sunburn in apple. </w:t>
      </w:r>
      <w:r w:rsidRPr="002F7029">
        <w:rPr>
          <w:rFonts w:ascii="Times New Roman" w:eastAsia="Times New Roman" w:hAnsi="Times New Roman" w:cs="Times New Roman"/>
          <w:bCs/>
          <w:i/>
          <w:iCs/>
          <w:color w:val="000000" w:themeColor="text1"/>
          <w:sz w:val="17"/>
          <w:szCs w:val="17"/>
          <w:lang w:val="en-IN"/>
        </w:rPr>
        <w:t>Agricultural and Forest Meteorology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237–238</w:t>
      </w:r>
      <w:r w:rsidRPr="002F7029">
        <w:rPr>
          <w:rFonts w:ascii="Times New Roman" w:eastAsia="Times New Roman" w:hAnsi="Times New Roman" w:cs="Times New Roman"/>
          <w:bCs/>
          <w:color w:val="000000" w:themeColor="text1"/>
          <w:sz w:val="17"/>
          <w:szCs w:val="17"/>
          <w:lang w:val="en-IN"/>
        </w:rPr>
        <w:t xml:space="preserve">, 9–17. </w:t>
      </w:r>
      <w:hyperlink r:id="rId94">
        <w:r w:rsidRPr="002F7029">
          <w:rPr>
            <w:rStyle w:val="Hyperlink"/>
            <w:rFonts w:ascii="Times New Roman" w:eastAsia="Times New Roman" w:hAnsi="Times New Roman" w:cs="Times New Roman"/>
            <w:bCs/>
            <w:color w:val="000000" w:themeColor="text1"/>
            <w:sz w:val="17"/>
            <w:szCs w:val="17"/>
            <w:u w:val="none"/>
            <w:lang w:val="en-IN"/>
          </w:rPr>
          <w:t>https://doi.org/10.1016/j.agrformet.2017.01.016</w:t>
        </w:r>
      </w:hyperlink>
    </w:p>
    <w:p w14:paraId="702E1EA6"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Kang, S., &amp; Zhang, J. (2004). Controlled alternate partial root-zone irrigation: Its physiological consequences and impact on water use efficiency. </w:t>
      </w:r>
      <w:r w:rsidRPr="002F7029">
        <w:rPr>
          <w:rFonts w:ascii="Times New Roman" w:eastAsia="Times New Roman" w:hAnsi="Times New Roman" w:cs="Times New Roman"/>
          <w:bCs/>
          <w:i/>
          <w:iCs/>
          <w:color w:val="000000" w:themeColor="text1"/>
          <w:sz w:val="17"/>
          <w:szCs w:val="17"/>
          <w:lang w:val="en-IN"/>
        </w:rPr>
        <w:t>Journal of Experimental Botany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55</w:t>
      </w:r>
      <w:r w:rsidRPr="002F7029">
        <w:rPr>
          <w:rFonts w:ascii="Times New Roman" w:eastAsia="Times New Roman" w:hAnsi="Times New Roman" w:cs="Times New Roman"/>
          <w:bCs/>
          <w:color w:val="000000" w:themeColor="text1"/>
          <w:sz w:val="17"/>
          <w:szCs w:val="17"/>
          <w:lang w:val="en-IN"/>
        </w:rPr>
        <w:t xml:space="preserve">(407), 2437–2446. </w:t>
      </w:r>
      <w:hyperlink r:id="rId95">
        <w:r w:rsidRPr="002F7029">
          <w:rPr>
            <w:rStyle w:val="Hyperlink"/>
            <w:rFonts w:ascii="Times New Roman" w:eastAsia="Times New Roman" w:hAnsi="Times New Roman" w:cs="Times New Roman"/>
            <w:bCs/>
            <w:color w:val="000000" w:themeColor="text1"/>
            <w:sz w:val="17"/>
            <w:szCs w:val="17"/>
            <w:u w:val="none"/>
            <w:lang w:val="en-IN"/>
          </w:rPr>
          <w:t>https://doi.org/10.1093/jxb/erh249</w:t>
        </w:r>
      </w:hyperlink>
    </w:p>
    <w:p w14:paraId="345AB892"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Konno, S., &amp; Sugiura, T. (2024). Field observations of clear summer day fruit surface temperatures in apple and satsuma mandarin. </w:t>
      </w:r>
      <w:r w:rsidRPr="002F7029">
        <w:rPr>
          <w:rFonts w:ascii="Times New Roman" w:eastAsia="Times New Roman" w:hAnsi="Times New Roman" w:cs="Times New Roman"/>
          <w:bCs/>
          <w:i/>
          <w:iCs/>
          <w:color w:val="000000" w:themeColor="text1"/>
          <w:sz w:val="17"/>
          <w:szCs w:val="17"/>
          <w:lang w:val="en-IN"/>
        </w:rPr>
        <w:t>Journal of Agricultural Meteorology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80</w:t>
      </w:r>
      <w:r w:rsidRPr="002F7029">
        <w:rPr>
          <w:rFonts w:ascii="Times New Roman" w:eastAsia="Times New Roman" w:hAnsi="Times New Roman" w:cs="Times New Roman"/>
          <w:bCs/>
          <w:color w:val="000000" w:themeColor="text1"/>
          <w:sz w:val="17"/>
          <w:szCs w:val="17"/>
          <w:lang w:val="en-IN"/>
        </w:rPr>
        <w:t xml:space="preserve">(2), 57–61. </w:t>
      </w:r>
      <w:hyperlink r:id="rId96">
        <w:r w:rsidRPr="002F7029">
          <w:rPr>
            <w:rStyle w:val="Hyperlink"/>
            <w:rFonts w:ascii="Times New Roman" w:eastAsia="Times New Roman" w:hAnsi="Times New Roman" w:cs="Times New Roman"/>
            <w:bCs/>
            <w:color w:val="000000" w:themeColor="text1"/>
            <w:sz w:val="17"/>
            <w:szCs w:val="17"/>
            <w:u w:val="none"/>
            <w:lang w:val="en-IN"/>
          </w:rPr>
          <w:t>https://doi.org/10.2480/agrmet.d-23-00029</w:t>
        </w:r>
      </w:hyperlink>
    </w:p>
    <w:p w14:paraId="17679308"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Kumar, S., </w:t>
      </w:r>
      <w:proofErr w:type="spellStart"/>
      <w:r w:rsidRPr="002F7029">
        <w:rPr>
          <w:rFonts w:ascii="Times New Roman" w:eastAsia="Times New Roman" w:hAnsi="Times New Roman" w:cs="Times New Roman"/>
          <w:bCs/>
          <w:color w:val="000000" w:themeColor="text1"/>
          <w:sz w:val="17"/>
          <w:szCs w:val="17"/>
          <w:lang w:val="en-IN"/>
        </w:rPr>
        <w:t>Chagné</w:t>
      </w:r>
      <w:proofErr w:type="spellEnd"/>
      <w:r w:rsidRPr="002F7029">
        <w:rPr>
          <w:rFonts w:ascii="Times New Roman" w:eastAsia="Times New Roman" w:hAnsi="Times New Roman" w:cs="Times New Roman"/>
          <w:bCs/>
          <w:color w:val="000000" w:themeColor="text1"/>
          <w:sz w:val="17"/>
          <w:szCs w:val="17"/>
          <w:lang w:val="en-IN"/>
        </w:rPr>
        <w:t>, D., Bink, M. C. A. M., Volz, R. K., Whitworth, C., &amp; Carlisle, C. (2012). Genomic selection for fruit quality traits in apple (</w:t>
      </w:r>
      <w:r w:rsidRPr="002F7029">
        <w:rPr>
          <w:rFonts w:ascii="Times New Roman" w:eastAsia="Times New Roman" w:hAnsi="Times New Roman" w:cs="Times New Roman"/>
          <w:bCs/>
          <w:i/>
          <w:iCs/>
          <w:color w:val="000000" w:themeColor="text1"/>
          <w:sz w:val="17"/>
          <w:szCs w:val="17"/>
          <w:lang w:val="en-IN"/>
        </w:rPr>
        <w:t>Malus</w:t>
      </w:r>
      <w:r w:rsidRPr="002F7029">
        <w:rPr>
          <w:rFonts w:ascii="Times New Roman" w:eastAsia="Times New Roman" w:hAnsi="Times New Roman" w:cs="Times New Roman"/>
          <w:bCs/>
          <w:color w:val="000000" w:themeColor="text1"/>
          <w:sz w:val="17"/>
          <w:szCs w:val="17"/>
          <w:lang w:val="en-IN"/>
        </w:rPr>
        <w:t xml:space="preserve"> × </w:t>
      </w:r>
      <w:r w:rsidRPr="002F7029">
        <w:rPr>
          <w:rFonts w:ascii="Times New Roman" w:eastAsia="Times New Roman" w:hAnsi="Times New Roman" w:cs="Times New Roman"/>
          <w:bCs/>
          <w:i/>
          <w:iCs/>
          <w:color w:val="000000" w:themeColor="text1"/>
          <w:sz w:val="17"/>
          <w:szCs w:val="17"/>
          <w:lang w:val="en-IN"/>
        </w:rPr>
        <w:t>domestica</w:t>
      </w:r>
      <w:r w:rsidRPr="002F7029">
        <w:rPr>
          <w:rFonts w:ascii="Times New Roman" w:eastAsia="Times New Roman" w:hAnsi="Times New Roman" w:cs="Times New Roman"/>
          <w:bCs/>
          <w:color w:val="000000" w:themeColor="text1"/>
          <w:sz w:val="17"/>
          <w:szCs w:val="17"/>
          <w:lang w:val="en-IN"/>
        </w:rPr>
        <w:t xml:space="preserve"> Borkh.). </w:t>
      </w:r>
      <w:proofErr w:type="spellStart"/>
      <w:r w:rsidRPr="002F7029">
        <w:rPr>
          <w:rFonts w:ascii="Times New Roman" w:eastAsia="Times New Roman" w:hAnsi="Times New Roman" w:cs="Times New Roman"/>
          <w:bCs/>
          <w:i/>
          <w:iCs/>
          <w:color w:val="000000" w:themeColor="text1"/>
          <w:sz w:val="17"/>
          <w:szCs w:val="17"/>
          <w:lang w:val="en-IN"/>
        </w:rPr>
        <w:t>PLoS</w:t>
      </w:r>
      <w:proofErr w:type="spellEnd"/>
      <w:r w:rsidRPr="002F7029">
        <w:rPr>
          <w:rFonts w:ascii="Times New Roman" w:eastAsia="Times New Roman" w:hAnsi="Times New Roman" w:cs="Times New Roman"/>
          <w:bCs/>
          <w:i/>
          <w:iCs/>
          <w:color w:val="000000" w:themeColor="text1"/>
          <w:sz w:val="17"/>
          <w:szCs w:val="17"/>
          <w:lang w:val="en-IN"/>
        </w:rPr>
        <w:t xml:space="preserve"> ONE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7</w:t>
      </w:r>
      <w:r w:rsidRPr="002F7029">
        <w:rPr>
          <w:rFonts w:ascii="Times New Roman" w:eastAsia="Times New Roman" w:hAnsi="Times New Roman" w:cs="Times New Roman"/>
          <w:bCs/>
          <w:color w:val="000000" w:themeColor="text1"/>
          <w:sz w:val="17"/>
          <w:szCs w:val="17"/>
          <w:lang w:val="en-IN"/>
        </w:rPr>
        <w:t xml:space="preserve">(5), Article e36674. </w:t>
      </w:r>
      <w:hyperlink r:id="rId97">
        <w:r w:rsidRPr="002F7029">
          <w:rPr>
            <w:rStyle w:val="Hyperlink"/>
            <w:rFonts w:ascii="Times New Roman" w:eastAsia="Times New Roman" w:hAnsi="Times New Roman" w:cs="Times New Roman"/>
            <w:bCs/>
            <w:color w:val="000000" w:themeColor="text1"/>
            <w:sz w:val="17"/>
            <w:szCs w:val="17"/>
            <w:u w:val="none"/>
            <w:lang w:val="en-IN"/>
          </w:rPr>
          <w:t>https://doi.org/10.1371/journal.pone.0036674</w:t>
        </w:r>
      </w:hyperlink>
    </w:p>
    <w:p w14:paraId="7B805326"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Lakso, A. N., Santiago, M., &amp; Stroock, A. D. (2022). Monitoring stem water potential with an embedded </w:t>
      </w:r>
      <w:proofErr w:type="spellStart"/>
      <w:r w:rsidRPr="002F7029">
        <w:rPr>
          <w:rFonts w:ascii="Times New Roman" w:eastAsia="Times New Roman" w:hAnsi="Times New Roman" w:cs="Times New Roman"/>
          <w:bCs/>
          <w:color w:val="000000" w:themeColor="text1"/>
          <w:sz w:val="17"/>
          <w:szCs w:val="17"/>
          <w:lang w:val="en-IN"/>
        </w:rPr>
        <w:t>microtensiometer</w:t>
      </w:r>
      <w:proofErr w:type="spellEnd"/>
      <w:r w:rsidRPr="002F7029">
        <w:rPr>
          <w:rFonts w:ascii="Times New Roman" w:eastAsia="Times New Roman" w:hAnsi="Times New Roman" w:cs="Times New Roman"/>
          <w:bCs/>
          <w:color w:val="000000" w:themeColor="text1"/>
          <w:sz w:val="17"/>
          <w:szCs w:val="17"/>
          <w:lang w:val="en-IN"/>
        </w:rPr>
        <w:t xml:space="preserve"> to inform irrigation scheduling in fruit crops. </w:t>
      </w:r>
      <w:proofErr w:type="spellStart"/>
      <w:r w:rsidRPr="002F7029">
        <w:rPr>
          <w:rFonts w:ascii="Times New Roman" w:eastAsia="Times New Roman" w:hAnsi="Times New Roman" w:cs="Times New Roman"/>
          <w:bCs/>
          <w:i/>
          <w:iCs/>
          <w:color w:val="000000" w:themeColor="text1"/>
          <w:sz w:val="17"/>
          <w:szCs w:val="17"/>
          <w:lang w:val="en-IN"/>
        </w:rPr>
        <w:t>Horticulturae</w:t>
      </w:r>
      <w:proofErr w:type="spellEnd"/>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8</w:t>
      </w:r>
      <w:r w:rsidRPr="002F7029">
        <w:rPr>
          <w:rFonts w:ascii="Times New Roman" w:eastAsia="Times New Roman" w:hAnsi="Times New Roman" w:cs="Times New Roman"/>
          <w:bCs/>
          <w:color w:val="000000" w:themeColor="text1"/>
          <w:sz w:val="17"/>
          <w:szCs w:val="17"/>
          <w:lang w:val="en-IN"/>
        </w:rPr>
        <w:t xml:space="preserve">(12), Article 1207. </w:t>
      </w:r>
      <w:hyperlink r:id="rId98">
        <w:r w:rsidRPr="002F7029">
          <w:rPr>
            <w:rStyle w:val="Hyperlink"/>
            <w:rFonts w:ascii="Times New Roman" w:eastAsia="Times New Roman" w:hAnsi="Times New Roman" w:cs="Times New Roman"/>
            <w:bCs/>
            <w:color w:val="000000" w:themeColor="text1"/>
            <w:sz w:val="17"/>
            <w:szCs w:val="17"/>
            <w:u w:val="none"/>
            <w:lang w:val="en-IN"/>
          </w:rPr>
          <w:t>https://doi.org/10.3390/horticulturae8121207</w:t>
        </w:r>
      </w:hyperlink>
    </w:p>
    <w:p w14:paraId="0502D052"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Laurens, F., </w:t>
      </w:r>
      <w:proofErr w:type="spellStart"/>
      <w:r w:rsidRPr="002F7029">
        <w:rPr>
          <w:rFonts w:ascii="Times New Roman" w:eastAsia="Times New Roman" w:hAnsi="Times New Roman" w:cs="Times New Roman"/>
          <w:bCs/>
          <w:color w:val="000000" w:themeColor="text1"/>
          <w:sz w:val="17"/>
          <w:szCs w:val="17"/>
          <w:lang w:val="en-IN"/>
        </w:rPr>
        <w:t>Aranzana</w:t>
      </w:r>
      <w:proofErr w:type="spellEnd"/>
      <w:r w:rsidRPr="002F7029">
        <w:rPr>
          <w:rFonts w:ascii="Times New Roman" w:eastAsia="Times New Roman" w:hAnsi="Times New Roman" w:cs="Times New Roman"/>
          <w:bCs/>
          <w:color w:val="000000" w:themeColor="text1"/>
          <w:sz w:val="17"/>
          <w:szCs w:val="17"/>
          <w:lang w:val="en-IN"/>
        </w:rPr>
        <w:t xml:space="preserve">, M. J., </w:t>
      </w:r>
      <w:proofErr w:type="spellStart"/>
      <w:r w:rsidRPr="002F7029">
        <w:rPr>
          <w:rFonts w:ascii="Times New Roman" w:eastAsia="Times New Roman" w:hAnsi="Times New Roman" w:cs="Times New Roman"/>
          <w:bCs/>
          <w:color w:val="000000" w:themeColor="text1"/>
          <w:sz w:val="17"/>
          <w:szCs w:val="17"/>
          <w:lang w:val="en-IN"/>
        </w:rPr>
        <w:t>Arus</w:t>
      </w:r>
      <w:proofErr w:type="spellEnd"/>
      <w:r w:rsidRPr="002F7029">
        <w:rPr>
          <w:rFonts w:ascii="Times New Roman" w:eastAsia="Times New Roman" w:hAnsi="Times New Roman" w:cs="Times New Roman"/>
          <w:bCs/>
          <w:color w:val="000000" w:themeColor="text1"/>
          <w:sz w:val="17"/>
          <w:szCs w:val="17"/>
          <w:lang w:val="en-IN"/>
        </w:rPr>
        <w:t xml:space="preserve">, P., Bassi, D., Bink, M., </w:t>
      </w:r>
      <w:proofErr w:type="spellStart"/>
      <w:r w:rsidRPr="002F7029">
        <w:rPr>
          <w:rFonts w:ascii="Times New Roman" w:eastAsia="Times New Roman" w:hAnsi="Times New Roman" w:cs="Times New Roman"/>
          <w:bCs/>
          <w:color w:val="000000" w:themeColor="text1"/>
          <w:sz w:val="17"/>
          <w:szCs w:val="17"/>
          <w:lang w:val="en-IN"/>
        </w:rPr>
        <w:t>Bonany</w:t>
      </w:r>
      <w:proofErr w:type="spellEnd"/>
      <w:r w:rsidRPr="002F7029">
        <w:rPr>
          <w:rFonts w:ascii="Times New Roman" w:eastAsia="Times New Roman" w:hAnsi="Times New Roman" w:cs="Times New Roman"/>
          <w:bCs/>
          <w:color w:val="000000" w:themeColor="text1"/>
          <w:sz w:val="17"/>
          <w:szCs w:val="17"/>
          <w:lang w:val="en-IN"/>
        </w:rPr>
        <w:t xml:space="preserve">, J., Caprera, A., Corelli-Grappadelli, L., Costes, E., Durel, C.-E., </w:t>
      </w:r>
      <w:proofErr w:type="spellStart"/>
      <w:r w:rsidRPr="002F7029">
        <w:rPr>
          <w:rFonts w:ascii="Times New Roman" w:eastAsia="Times New Roman" w:hAnsi="Times New Roman" w:cs="Times New Roman"/>
          <w:bCs/>
          <w:color w:val="000000" w:themeColor="text1"/>
          <w:sz w:val="17"/>
          <w:szCs w:val="17"/>
          <w:lang w:val="en-IN"/>
        </w:rPr>
        <w:t>Mauroux</w:t>
      </w:r>
      <w:proofErr w:type="spellEnd"/>
      <w:r w:rsidRPr="002F7029">
        <w:rPr>
          <w:rFonts w:ascii="Times New Roman" w:eastAsia="Times New Roman" w:hAnsi="Times New Roman" w:cs="Times New Roman"/>
          <w:bCs/>
          <w:color w:val="000000" w:themeColor="text1"/>
          <w:sz w:val="17"/>
          <w:szCs w:val="17"/>
          <w:lang w:val="en-IN"/>
        </w:rPr>
        <w:t xml:space="preserve">, J.-B., </w:t>
      </w:r>
      <w:proofErr w:type="spellStart"/>
      <w:r w:rsidRPr="002F7029">
        <w:rPr>
          <w:rFonts w:ascii="Times New Roman" w:eastAsia="Times New Roman" w:hAnsi="Times New Roman" w:cs="Times New Roman"/>
          <w:bCs/>
          <w:color w:val="000000" w:themeColor="text1"/>
          <w:sz w:val="17"/>
          <w:szCs w:val="17"/>
          <w:lang w:val="en-IN"/>
        </w:rPr>
        <w:t>Muranty</w:t>
      </w:r>
      <w:proofErr w:type="spellEnd"/>
      <w:r w:rsidRPr="002F7029">
        <w:rPr>
          <w:rFonts w:ascii="Times New Roman" w:eastAsia="Times New Roman" w:hAnsi="Times New Roman" w:cs="Times New Roman"/>
          <w:bCs/>
          <w:color w:val="000000" w:themeColor="text1"/>
          <w:sz w:val="17"/>
          <w:szCs w:val="17"/>
          <w:lang w:val="en-IN"/>
        </w:rPr>
        <w:t xml:space="preserve">, H., </w:t>
      </w:r>
      <w:proofErr w:type="spellStart"/>
      <w:r w:rsidRPr="002F7029">
        <w:rPr>
          <w:rFonts w:ascii="Times New Roman" w:eastAsia="Times New Roman" w:hAnsi="Times New Roman" w:cs="Times New Roman"/>
          <w:bCs/>
          <w:color w:val="000000" w:themeColor="text1"/>
          <w:sz w:val="17"/>
          <w:szCs w:val="17"/>
          <w:lang w:val="en-IN"/>
        </w:rPr>
        <w:t>Nazzicari</w:t>
      </w:r>
      <w:proofErr w:type="spellEnd"/>
      <w:r w:rsidRPr="002F7029">
        <w:rPr>
          <w:rFonts w:ascii="Times New Roman" w:eastAsia="Times New Roman" w:hAnsi="Times New Roman" w:cs="Times New Roman"/>
          <w:bCs/>
          <w:color w:val="000000" w:themeColor="text1"/>
          <w:sz w:val="17"/>
          <w:szCs w:val="17"/>
          <w:lang w:val="en-IN"/>
        </w:rPr>
        <w:t xml:space="preserve">, N., Pascal, T., </w:t>
      </w:r>
      <w:proofErr w:type="spellStart"/>
      <w:r w:rsidRPr="002F7029">
        <w:rPr>
          <w:rFonts w:ascii="Times New Roman" w:eastAsia="Times New Roman" w:hAnsi="Times New Roman" w:cs="Times New Roman"/>
          <w:bCs/>
          <w:color w:val="000000" w:themeColor="text1"/>
          <w:sz w:val="17"/>
          <w:szCs w:val="17"/>
          <w:lang w:val="en-IN"/>
        </w:rPr>
        <w:t>Patocchi</w:t>
      </w:r>
      <w:proofErr w:type="spellEnd"/>
      <w:r w:rsidRPr="002F7029">
        <w:rPr>
          <w:rFonts w:ascii="Times New Roman" w:eastAsia="Times New Roman" w:hAnsi="Times New Roman" w:cs="Times New Roman"/>
          <w:bCs/>
          <w:color w:val="000000" w:themeColor="text1"/>
          <w:sz w:val="17"/>
          <w:szCs w:val="17"/>
          <w:lang w:val="en-IN"/>
        </w:rPr>
        <w:t xml:space="preserve">, A., Peil, A., </w:t>
      </w:r>
      <w:proofErr w:type="spellStart"/>
      <w:r w:rsidRPr="002F7029">
        <w:rPr>
          <w:rFonts w:ascii="Times New Roman" w:eastAsia="Times New Roman" w:hAnsi="Times New Roman" w:cs="Times New Roman"/>
          <w:bCs/>
          <w:color w:val="000000" w:themeColor="text1"/>
          <w:sz w:val="17"/>
          <w:szCs w:val="17"/>
          <w:lang w:val="en-IN"/>
        </w:rPr>
        <w:t>Quilot</w:t>
      </w:r>
      <w:proofErr w:type="spellEnd"/>
      <w:r w:rsidRPr="002F7029">
        <w:rPr>
          <w:rFonts w:ascii="Times New Roman" w:eastAsia="Times New Roman" w:hAnsi="Times New Roman" w:cs="Times New Roman"/>
          <w:bCs/>
          <w:color w:val="000000" w:themeColor="text1"/>
          <w:sz w:val="17"/>
          <w:szCs w:val="17"/>
          <w:lang w:val="en-IN"/>
        </w:rPr>
        <w:t xml:space="preserve">-Turion, B., Rossini, L., Stella, A., . . . van de Weg, E. (2018). An integrated approach for increasing breeding efficiency in apple and peach in Europe. </w:t>
      </w:r>
      <w:r w:rsidRPr="002F7029">
        <w:rPr>
          <w:rFonts w:ascii="Times New Roman" w:eastAsia="Times New Roman" w:hAnsi="Times New Roman" w:cs="Times New Roman"/>
          <w:bCs/>
          <w:i/>
          <w:iCs/>
          <w:color w:val="000000" w:themeColor="text1"/>
          <w:sz w:val="17"/>
          <w:szCs w:val="17"/>
          <w:lang w:val="en-IN"/>
        </w:rPr>
        <w:t>Horticulture Research</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5</w:t>
      </w:r>
      <w:r w:rsidRPr="002F7029">
        <w:rPr>
          <w:rFonts w:ascii="Times New Roman" w:eastAsia="Times New Roman" w:hAnsi="Times New Roman" w:cs="Times New Roman"/>
          <w:bCs/>
          <w:color w:val="000000" w:themeColor="text1"/>
          <w:sz w:val="17"/>
          <w:szCs w:val="17"/>
          <w:lang w:val="en-IN"/>
        </w:rPr>
        <w:t xml:space="preserve">(1), Article 11. </w:t>
      </w:r>
      <w:hyperlink r:id="rId99">
        <w:r w:rsidRPr="002F7029">
          <w:rPr>
            <w:rStyle w:val="Hyperlink"/>
            <w:rFonts w:ascii="Times New Roman" w:eastAsia="Times New Roman" w:hAnsi="Times New Roman" w:cs="Times New Roman"/>
            <w:bCs/>
            <w:color w:val="000000" w:themeColor="text1"/>
            <w:sz w:val="17"/>
            <w:szCs w:val="17"/>
            <w:u w:val="none"/>
            <w:lang w:val="en-IN"/>
          </w:rPr>
          <w:t>https://doi.org/10.1038/s41438-018-0016-3</w:t>
        </w:r>
      </w:hyperlink>
    </w:p>
    <w:p w14:paraId="57FE8279"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Legave</w:t>
      </w:r>
      <w:proofErr w:type="spellEnd"/>
      <w:r w:rsidRPr="002F7029">
        <w:rPr>
          <w:rFonts w:ascii="Times New Roman" w:eastAsia="Times New Roman" w:hAnsi="Times New Roman" w:cs="Times New Roman"/>
          <w:bCs/>
          <w:color w:val="000000" w:themeColor="text1"/>
          <w:sz w:val="17"/>
          <w:szCs w:val="17"/>
          <w:lang w:val="en-IN"/>
        </w:rPr>
        <w:t xml:space="preserve">, J.-M., Blanke, M., Christen, D., Giovannini, D., Mathieu, V., &amp; Oger, R. (2013). A comprehensive overview of the spatial and temporal variability of apple bud dormancy release and blooming phenology in Western Europe. </w:t>
      </w:r>
      <w:r w:rsidRPr="002F7029">
        <w:rPr>
          <w:rFonts w:ascii="Times New Roman" w:eastAsia="Times New Roman" w:hAnsi="Times New Roman" w:cs="Times New Roman"/>
          <w:bCs/>
          <w:i/>
          <w:iCs/>
          <w:color w:val="000000" w:themeColor="text1"/>
          <w:sz w:val="17"/>
          <w:szCs w:val="17"/>
          <w:lang w:val="en-IN"/>
        </w:rPr>
        <w:t>International Journal of Biometeorology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57</w:t>
      </w:r>
      <w:r w:rsidRPr="002F7029">
        <w:rPr>
          <w:rFonts w:ascii="Times New Roman" w:eastAsia="Times New Roman" w:hAnsi="Times New Roman" w:cs="Times New Roman"/>
          <w:bCs/>
          <w:color w:val="000000" w:themeColor="text1"/>
          <w:sz w:val="17"/>
          <w:szCs w:val="17"/>
          <w:lang w:val="en-IN"/>
        </w:rPr>
        <w:t xml:space="preserve">(2), 317–331. </w:t>
      </w:r>
      <w:hyperlink r:id="rId100">
        <w:r w:rsidRPr="002F7029">
          <w:rPr>
            <w:rStyle w:val="Hyperlink"/>
            <w:rFonts w:ascii="Times New Roman" w:eastAsia="Times New Roman" w:hAnsi="Times New Roman" w:cs="Times New Roman"/>
            <w:bCs/>
            <w:color w:val="000000" w:themeColor="text1"/>
            <w:sz w:val="17"/>
            <w:szCs w:val="17"/>
            <w:u w:val="none"/>
            <w:lang w:val="en-IN"/>
          </w:rPr>
          <w:t>https://doi.org/10.1007/s00484-012-0551-9</w:t>
        </w:r>
      </w:hyperlink>
    </w:p>
    <w:p w14:paraId="59E04DFF"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Legave</w:t>
      </w:r>
      <w:proofErr w:type="spellEnd"/>
      <w:r w:rsidRPr="002F7029">
        <w:rPr>
          <w:rFonts w:ascii="Times New Roman" w:eastAsia="Times New Roman" w:hAnsi="Times New Roman" w:cs="Times New Roman"/>
          <w:bCs/>
          <w:color w:val="000000" w:themeColor="text1"/>
          <w:sz w:val="17"/>
          <w:szCs w:val="17"/>
          <w:lang w:val="en-IN"/>
        </w:rPr>
        <w:t xml:space="preserve">, J.-M., </w:t>
      </w:r>
      <w:proofErr w:type="spellStart"/>
      <w:r w:rsidRPr="002F7029">
        <w:rPr>
          <w:rFonts w:ascii="Times New Roman" w:eastAsia="Times New Roman" w:hAnsi="Times New Roman" w:cs="Times New Roman"/>
          <w:bCs/>
          <w:color w:val="000000" w:themeColor="text1"/>
          <w:sz w:val="17"/>
          <w:szCs w:val="17"/>
          <w:lang w:val="en-IN"/>
        </w:rPr>
        <w:t>Guédon</w:t>
      </w:r>
      <w:proofErr w:type="spellEnd"/>
      <w:r w:rsidRPr="002F7029">
        <w:rPr>
          <w:rFonts w:ascii="Times New Roman" w:eastAsia="Times New Roman" w:hAnsi="Times New Roman" w:cs="Times New Roman"/>
          <w:bCs/>
          <w:color w:val="000000" w:themeColor="text1"/>
          <w:sz w:val="17"/>
          <w:szCs w:val="17"/>
          <w:lang w:val="en-IN"/>
        </w:rPr>
        <w:t xml:space="preserve">, Y., </w:t>
      </w:r>
      <w:proofErr w:type="spellStart"/>
      <w:r w:rsidRPr="002F7029">
        <w:rPr>
          <w:rFonts w:ascii="Times New Roman" w:eastAsia="Times New Roman" w:hAnsi="Times New Roman" w:cs="Times New Roman"/>
          <w:bCs/>
          <w:color w:val="000000" w:themeColor="text1"/>
          <w:sz w:val="17"/>
          <w:szCs w:val="17"/>
          <w:lang w:val="en-IN"/>
        </w:rPr>
        <w:t>Malagi</w:t>
      </w:r>
      <w:proofErr w:type="spellEnd"/>
      <w:r w:rsidRPr="002F7029">
        <w:rPr>
          <w:rFonts w:ascii="Times New Roman" w:eastAsia="Times New Roman" w:hAnsi="Times New Roman" w:cs="Times New Roman"/>
          <w:bCs/>
          <w:color w:val="000000" w:themeColor="text1"/>
          <w:sz w:val="17"/>
          <w:szCs w:val="17"/>
          <w:lang w:val="en-IN"/>
        </w:rPr>
        <w:t xml:space="preserve">, G., El </w:t>
      </w:r>
      <w:proofErr w:type="spellStart"/>
      <w:r w:rsidRPr="002F7029">
        <w:rPr>
          <w:rFonts w:ascii="Times New Roman" w:eastAsia="Times New Roman" w:hAnsi="Times New Roman" w:cs="Times New Roman"/>
          <w:bCs/>
          <w:color w:val="000000" w:themeColor="text1"/>
          <w:sz w:val="17"/>
          <w:szCs w:val="17"/>
          <w:lang w:val="en-IN"/>
        </w:rPr>
        <w:t>Yaacoubi</w:t>
      </w:r>
      <w:proofErr w:type="spellEnd"/>
      <w:r w:rsidRPr="002F7029">
        <w:rPr>
          <w:rFonts w:ascii="Times New Roman" w:eastAsia="Times New Roman" w:hAnsi="Times New Roman" w:cs="Times New Roman"/>
          <w:bCs/>
          <w:color w:val="000000" w:themeColor="text1"/>
          <w:sz w:val="17"/>
          <w:szCs w:val="17"/>
          <w:lang w:val="en-IN"/>
        </w:rPr>
        <w:t xml:space="preserve">, A., &amp; Bonhomme, M. (2015). Differentiated responses of apple tree floral phenology to global warming in contrasting climatic regions. </w:t>
      </w:r>
      <w:r w:rsidRPr="002F7029">
        <w:rPr>
          <w:rFonts w:ascii="Times New Roman" w:eastAsia="Times New Roman" w:hAnsi="Times New Roman" w:cs="Times New Roman"/>
          <w:bCs/>
          <w:i/>
          <w:iCs/>
          <w:color w:val="000000" w:themeColor="text1"/>
          <w:sz w:val="17"/>
          <w:szCs w:val="17"/>
          <w:lang w:val="en-IN"/>
        </w:rPr>
        <w:t>Frontiers in Plant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6</w:t>
      </w:r>
      <w:r w:rsidRPr="002F7029">
        <w:rPr>
          <w:rFonts w:ascii="Times New Roman" w:eastAsia="Times New Roman" w:hAnsi="Times New Roman" w:cs="Times New Roman"/>
          <w:bCs/>
          <w:color w:val="000000" w:themeColor="text1"/>
          <w:sz w:val="17"/>
          <w:szCs w:val="17"/>
          <w:lang w:val="en-IN"/>
        </w:rPr>
        <w:t xml:space="preserve">, Article 1054. </w:t>
      </w:r>
      <w:hyperlink r:id="rId101">
        <w:r w:rsidRPr="002F7029">
          <w:rPr>
            <w:rStyle w:val="Hyperlink"/>
            <w:rFonts w:ascii="Times New Roman" w:eastAsia="Times New Roman" w:hAnsi="Times New Roman" w:cs="Times New Roman"/>
            <w:bCs/>
            <w:color w:val="000000" w:themeColor="text1"/>
            <w:sz w:val="17"/>
            <w:szCs w:val="17"/>
            <w:u w:val="none"/>
            <w:lang w:val="en-IN"/>
          </w:rPr>
          <w:t>https://doi.org/10.3389/fpls.2015.01054</w:t>
        </w:r>
      </w:hyperlink>
    </w:p>
    <w:p w14:paraId="0D1D1B03"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Li, S., Chen, H., Yu, H., Li, Y., &amp; Wang, L. (2023). Responses and adaptations of fruit trees to high temperatures. </w:t>
      </w:r>
      <w:r w:rsidRPr="002F7029">
        <w:rPr>
          <w:rFonts w:ascii="Times New Roman" w:eastAsia="Times New Roman" w:hAnsi="Times New Roman" w:cs="Times New Roman"/>
          <w:bCs/>
          <w:i/>
          <w:iCs/>
          <w:color w:val="000000" w:themeColor="text1"/>
          <w:sz w:val="17"/>
          <w:szCs w:val="17"/>
          <w:lang w:val="en-IN"/>
        </w:rPr>
        <w:t>Fruit Research</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3</w:t>
      </w:r>
      <w:r w:rsidRPr="002F7029">
        <w:rPr>
          <w:rFonts w:ascii="Times New Roman" w:eastAsia="Times New Roman" w:hAnsi="Times New Roman" w:cs="Times New Roman"/>
          <w:bCs/>
          <w:color w:val="000000" w:themeColor="text1"/>
          <w:sz w:val="17"/>
          <w:szCs w:val="17"/>
          <w:lang w:val="en-IN"/>
        </w:rPr>
        <w:t xml:space="preserve">, Article 23. </w:t>
      </w:r>
      <w:hyperlink r:id="rId102">
        <w:r w:rsidRPr="002F7029">
          <w:rPr>
            <w:rStyle w:val="Hyperlink"/>
            <w:rFonts w:ascii="Times New Roman" w:eastAsia="Times New Roman" w:hAnsi="Times New Roman" w:cs="Times New Roman"/>
            <w:bCs/>
            <w:color w:val="000000" w:themeColor="text1"/>
            <w:sz w:val="17"/>
            <w:szCs w:val="17"/>
            <w:u w:val="none"/>
            <w:lang w:val="en-IN"/>
          </w:rPr>
          <w:t>https://doi.org/10.48130/frures-2023-0023</w:t>
        </w:r>
      </w:hyperlink>
    </w:p>
    <w:p w14:paraId="30A200BB"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Liao, Y., Cao, H.-X., Liu, X., Li, H.-T., Hu, Q.-Y., &amp; Xue, W.-K. (2021). By increasing infiltration and reducing evaporation, mulching can improve the soil water environment and apple yield of orchards in semiarid areas. </w:t>
      </w:r>
      <w:r w:rsidRPr="002F7029">
        <w:rPr>
          <w:rFonts w:ascii="Times New Roman" w:eastAsia="Times New Roman" w:hAnsi="Times New Roman" w:cs="Times New Roman"/>
          <w:bCs/>
          <w:i/>
          <w:iCs/>
          <w:color w:val="000000" w:themeColor="text1"/>
          <w:sz w:val="17"/>
          <w:szCs w:val="17"/>
          <w:lang w:val="en-IN"/>
        </w:rPr>
        <w:t>Agricultural Water Management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253</w:t>
      </w:r>
      <w:r w:rsidRPr="002F7029">
        <w:rPr>
          <w:rFonts w:ascii="Times New Roman" w:eastAsia="Times New Roman" w:hAnsi="Times New Roman" w:cs="Times New Roman"/>
          <w:bCs/>
          <w:color w:val="000000" w:themeColor="text1"/>
          <w:sz w:val="17"/>
          <w:szCs w:val="17"/>
          <w:lang w:val="en-IN"/>
        </w:rPr>
        <w:t xml:space="preserve">, Article 106936. </w:t>
      </w:r>
      <w:hyperlink r:id="rId103">
        <w:r w:rsidRPr="002F7029">
          <w:rPr>
            <w:rStyle w:val="Hyperlink"/>
            <w:rFonts w:ascii="Times New Roman" w:eastAsia="Times New Roman" w:hAnsi="Times New Roman" w:cs="Times New Roman"/>
            <w:bCs/>
            <w:color w:val="000000" w:themeColor="text1"/>
            <w:sz w:val="17"/>
            <w:szCs w:val="17"/>
            <w:u w:val="none"/>
            <w:lang w:val="en-IN"/>
          </w:rPr>
          <w:t>https://doi.org/10.1016/j.agwat.2021.106936</w:t>
        </w:r>
      </w:hyperlink>
    </w:p>
    <w:p w14:paraId="5202DA14"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Limera</w:t>
      </w:r>
      <w:proofErr w:type="spellEnd"/>
      <w:r w:rsidRPr="002F7029">
        <w:rPr>
          <w:rFonts w:ascii="Times New Roman" w:eastAsia="Times New Roman" w:hAnsi="Times New Roman" w:cs="Times New Roman"/>
          <w:bCs/>
          <w:color w:val="000000" w:themeColor="text1"/>
          <w:sz w:val="17"/>
          <w:szCs w:val="17"/>
          <w:lang w:val="en-IN"/>
        </w:rPr>
        <w:t xml:space="preserve">, C., Sabbadini, S., Sweet, J. B., &amp; Mezzetti, B. (2017). New biotechnological tools for the genetic improvement of major woody fruit species. </w:t>
      </w:r>
      <w:r w:rsidRPr="002F7029">
        <w:rPr>
          <w:rFonts w:ascii="Times New Roman" w:eastAsia="Times New Roman" w:hAnsi="Times New Roman" w:cs="Times New Roman"/>
          <w:bCs/>
          <w:i/>
          <w:iCs/>
          <w:color w:val="000000" w:themeColor="text1"/>
          <w:sz w:val="17"/>
          <w:szCs w:val="17"/>
          <w:lang w:val="en-IN"/>
        </w:rPr>
        <w:t>Frontiers in Plant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8</w:t>
      </w:r>
      <w:r w:rsidRPr="002F7029">
        <w:rPr>
          <w:rFonts w:ascii="Times New Roman" w:eastAsia="Times New Roman" w:hAnsi="Times New Roman" w:cs="Times New Roman"/>
          <w:bCs/>
          <w:color w:val="000000" w:themeColor="text1"/>
          <w:sz w:val="17"/>
          <w:szCs w:val="17"/>
          <w:lang w:val="en-IN"/>
        </w:rPr>
        <w:t xml:space="preserve">, Article 1418. </w:t>
      </w:r>
      <w:hyperlink r:id="rId104">
        <w:r w:rsidRPr="002F7029">
          <w:rPr>
            <w:rStyle w:val="Hyperlink"/>
            <w:rFonts w:ascii="Times New Roman" w:eastAsia="Times New Roman" w:hAnsi="Times New Roman" w:cs="Times New Roman"/>
            <w:bCs/>
            <w:color w:val="000000" w:themeColor="text1"/>
            <w:sz w:val="17"/>
            <w:szCs w:val="17"/>
            <w:u w:val="none"/>
            <w:lang w:val="en-IN"/>
          </w:rPr>
          <w:t>https://doi.org/10.3389/fpls.2017.01418</w:t>
        </w:r>
      </w:hyperlink>
    </w:p>
    <w:p w14:paraId="52750A6E"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Lipper, L., Thornton, P., Campbell, B. M., Baedeker, T., </w:t>
      </w:r>
      <w:proofErr w:type="spellStart"/>
      <w:r w:rsidRPr="002F7029">
        <w:rPr>
          <w:rFonts w:ascii="Times New Roman" w:eastAsia="Times New Roman" w:hAnsi="Times New Roman" w:cs="Times New Roman"/>
          <w:bCs/>
          <w:color w:val="000000" w:themeColor="text1"/>
          <w:sz w:val="17"/>
          <w:szCs w:val="17"/>
          <w:lang w:val="en-IN"/>
        </w:rPr>
        <w:t>Braimoh</w:t>
      </w:r>
      <w:proofErr w:type="spellEnd"/>
      <w:r w:rsidRPr="002F7029">
        <w:rPr>
          <w:rFonts w:ascii="Times New Roman" w:eastAsia="Times New Roman" w:hAnsi="Times New Roman" w:cs="Times New Roman"/>
          <w:bCs/>
          <w:color w:val="000000" w:themeColor="text1"/>
          <w:sz w:val="17"/>
          <w:szCs w:val="17"/>
          <w:lang w:val="en-IN"/>
        </w:rPr>
        <w:t xml:space="preserve">, A., Bwalya, M., Caron, P., Cattaneo, A., Garrity, D., Henry, K., Hottle, R., Jackson, L., Jarvis, A., </w:t>
      </w:r>
      <w:proofErr w:type="spellStart"/>
      <w:r w:rsidRPr="002F7029">
        <w:rPr>
          <w:rFonts w:ascii="Times New Roman" w:eastAsia="Times New Roman" w:hAnsi="Times New Roman" w:cs="Times New Roman"/>
          <w:bCs/>
          <w:color w:val="000000" w:themeColor="text1"/>
          <w:sz w:val="17"/>
          <w:szCs w:val="17"/>
          <w:lang w:val="en-IN"/>
        </w:rPr>
        <w:t>Kossam</w:t>
      </w:r>
      <w:proofErr w:type="spellEnd"/>
      <w:r w:rsidRPr="002F7029">
        <w:rPr>
          <w:rFonts w:ascii="Times New Roman" w:eastAsia="Times New Roman" w:hAnsi="Times New Roman" w:cs="Times New Roman"/>
          <w:bCs/>
          <w:color w:val="000000" w:themeColor="text1"/>
          <w:sz w:val="17"/>
          <w:szCs w:val="17"/>
          <w:lang w:val="en-IN"/>
        </w:rPr>
        <w:t xml:space="preserve">, F., Mann, W., McCarthy, N., </w:t>
      </w:r>
      <w:proofErr w:type="spellStart"/>
      <w:r w:rsidRPr="002F7029">
        <w:rPr>
          <w:rFonts w:ascii="Times New Roman" w:eastAsia="Times New Roman" w:hAnsi="Times New Roman" w:cs="Times New Roman"/>
          <w:bCs/>
          <w:color w:val="000000" w:themeColor="text1"/>
          <w:sz w:val="17"/>
          <w:szCs w:val="17"/>
          <w:lang w:val="en-IN"/>
        </w:rPr>
        <w:t>Meybeck</w:t>
      </w:r>
      <w:proofErr w:type="spellEnd"/>
      <w:r w:rsidRPr="002F7029">
        <w:rPr>
          <w:rFonts w:ascii="Times New Roman" w:eastAsia="Times New Roman" w:hAnsi="Times New Roman" w:cs="Times New Roman"/>
          <w:bCs/>
          <w:color w:val="000000" w:themeColor="text1"/>
          <w:sz w:val="17"/>
          <w:szCs w:val="17"/>
          <w:lang w:val="en-IN"/>
        </w:rPr>
        <w:t xml:space="preserve">, A., Neufeldt, H., Remington, T., . . . </w:t>
      </w:r>
      <w:proofErr w:type="spellStart"/>
      <w:r w:rsidRPr="002F7029">
        <w:rPr>
          <w:rFonts w:ascii="Times New Roman" w:eastAsia="Times New Roman" w:hAnsi="Times New Roman" w:cs="Times New Roman"/>
          <w:bCs/>
          <w:color w:val="000000" w:themeColor="text1"/>
          <w:sz w:val="17"/>
          <w:szCs w:val="17"/>
          <w:lang w:val="en-IN"/>
        </w:rPr>
        <w:t>Torquebiau</w:t>
      </w:r>
      <w:proofErr w:type="spellEnd"/>
      <w:r w:rsidRPr="002F7029">
        <w:rPr>
          <w:rFonts w:ascii="Times New Roman" w:eastAsia="Times New Roman" w:hAnsi="Times New Roman" w:cs="Times New Roman"/>
          <w:bCs/>
          <w:color w:val="000000" w:themeColor="text1"/>
          <w:sz w:val="17"/>
          <w:szCs w:val="17"/>
          <w:lang w:val="en-IN"/>
        </w:rPr>
        <w:t xml:space="preserve">, E. F. (2014). Climate-smart agriculture for food security. </w:t>
      </w:r>
      <w:r w:rsidRPr="002F7029">
        <w:rPr>
          <w:rFonts w:ascii="Times New Roman" w:eastAsia="Times New Roman" w:hAnsi="Times New Roman" w:cs="Times New Roman"/>
          <w:bCs/>
          <w:i/>
          <w:iCs/>
          <w:color w:val="000000" w:themeColor="text1"/>
          <w:sz w:val="17"/>
          <w:szCs w:val="17"/>
          <w:lang w:val="en-IN"/>
        </w:rPr>
        <w:t>Nature Climate Change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4</w:t>
      </w:r>
      <w:r w:rsidRPr="002F7029">
        <w:rPr>
          <w:rFonts w:ascii="Times New Roman" w:eastAsia="Times New Roman" w:hAnsi="Times New Roman" w:cs="Times New Roman"/>
          <w:bCs/>
          <w:color w:val="000000" w:themeColor="text1"/>
          <w:sz w:val="17"/>
          <w:szCs w:val="17"/>
          <w:lang w:val="en-IN"/>
        </w:rPr>
        <w:t xml:space="preserve">(12), 1068–1072. </w:t>
      </w:r>
      <w:hyperlink r:id="rId105">
        <w:r w:rsidRPr="002F7029">
          <w:rPr>
            <w:rStyle w:val="Hyperlink"/>
            <w:rFonts w:ascii="Times New Roman" w:eastAsia="Times New Roman" w:hAnsi="Times New Roman" w:cs="Times New Roman"/>
            <w:bCs/>
            <w:color w:val="000000" w:themeColor="text1"/>
            <w:sz w:val="17"/>
            <w:szCs w:val="17"/>
            <w:u w:val="none"/>
            <w:lang w:val="en-IN"/>
          </w:rPr>
          <w:t>https://doi.org/10.1038/nclimate2437</w:t>
        </w:r>
      </w:hyperlink>
    </w:p>
    <w:p w14:paraId="6F1DFDA4"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Lobell, D. B., &amp; Field, C. B. (2011). California perennial crops in a changing climate. </w:t>
      </w:r>
      <w:r w:rsidRPr="002F7029">
        <w:rPr>
          <w:rFonts w:ascii="Times New Roman" w:eastAsia="Times New Roman" w:hAnsi="Times New Roman" w:cs="Times New Roman"/>
          <w:bCs/>
          <w:i/>
          <w:iCs/>
          <w:color w:val="000000" w:themeColor="text1"/>
          <w:sz w:val="17"/>
          <w:szCs w:val="17"/>
          <w:lang w:val="en-IN"/>
        </w:rPr>
        <w:t>Climatic Change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109</w:t>
      </w:r>
      <w:r w:rsidRPr="002F7029">
        <w:rPr>
          <w:rFonts w:ascii="Times New Roman" w:eastAsia="Times New Roman" w:hAnsi="Times New Roman" w:cs="Times New Roman"/>
          <w:bCs/>
          <w:color w:val="000000" w:themeColor="text1"/>
          <w:sz w:val="17"/>
          <w:szCs w:val="17"/>
          <w:lang w:val="en-IN"/>
        </w:rPr>
        <w:t xml:space="preserve">(S1), 317–333. </w:t>
      </w:r>
      <w:hyperlink r:id="rId106">
        <w:r w:rsidRPr="002F7029">
          <w:rPr>
            <w:rStyle w:val="Hyperlink"/>
            <w:rFonts w:ascii="Times New Roman" w:eastAsia="Times New Roman" w:hAnsi="Times New Roman" w:cs="Times New Roman"/>
            <w:bCs/>
            <w:color w:val="000000" w:themeColor="text1"/>
            <w:sz w:val="17"/>
            <w:szCs w:val="17"/>
            <w:u w:val="none"/>
            <w:lang w:val="en-IN"/>
          </w:rPr>
          <w:t>https://doi.org/10.1007/s10584-011-0303-6</w:t>
        </w:r>
      </w:hyperlink>
    </w:p>
    <w:p w14:paraId="6C987B0E"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Lobell, D. B., Field, C. B., Cahill, K. N., &amp; </w:t>
      </w:r>
      <w:proofErr w:type="spellStart"/>
      <w:r w:rsidRPr="002F7029">
        <w:rPr>
          <w:rFonts w:ascii="Times New Roman" w:eastAsia="Times New Roman" w:hAnsi="Times New Roman" w:cs="Times New Roman"/>
          <w:bCs/>
          <w:color w:val="000000" w:themeColor="text1"/>
          <w:sz w:val="17"/>
          <w:szCs w:val="17"/>
          <w:lang w:val="en-IN"/>
        </w:rPr>
        <w:t>Bonfils</w:t>
      </w:r>
      <w:proofErr w:type="spellEnd"/>
      <w:r w:rsidRPr="002F7029">
        <w:rPr>
          <w:rFonts w:ascii="Times New Roman" w:eastAsia="Times New Roman" w:hAnsi="Times New Roman" w:cs="Times New Roman"/>
          <w:bCs/>
          <w:color w:val="000000" w:themeColor="text1"/>
          <w:sz w:val="17"/>
          <w:szCs w:val="17"/>
          <w:lang w:val="en-IN"/>
        </w:rPr>
        <w:t xml:space="preserve">, C. (2006). Impacts of future climate change on California perennial crop yields: Model projections with climate and crop uncertainties. </w:t>
      </w:r>
      <w:r w:rsidRPr="002F7029">
        <w:rPr>
          <w:rFonts w:ascii="Times New Roman" w:eastAsia="Times New Roman" w:hAnsi="Times New Roman" w:cs="Times New Roman"/>
          <w:bCs/>
          <w:i/>
          <w:iCs/>
          <w:color w:val="000000" w:themeColor="text1"/>
          <w:sz w:val="17"/>
          <w:szCs w:val="17"/>
          <w:lang w:val="en-IN"/>
        </w:rPr>
        <w:t>Agricultural and Forest Meteorology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141</w:t>
      </w:r>
      <w:r w:rsidRPr="002F7029">
        <w:rPr>
          <w:rFonts w:ascii="Times New Roman" w:eastAsia="Times New Roman" w:hAnsi="Times New Roman" w:cs="Times New Roman"/>
          <w:bCs/>
          <w:color w:val="000000" w:themeColor="text1"/>
          <w:sz w:val="17"/>
          <w:szCs w:val="17"/>
          <w:lang w:val="en-IN"/>
        </w:rPr>
        <w:t xml:space="preserve">(2–4), 208–218. </w:t>
      </w:r>
      <w:hyperlink r:id="rId107">
        <w:r w:rsidRPr="002F7029">
          <w:rPr>
            <w:rStyle w:val="Hyperlink"/>
            <w:rFonts w:ascii="Times New Roman" w:eastAsia="Times New Roman" w:hAnsi="Times New Roman" w:cs="Times New Roman"/>
            <w:bCs/>
            <w:color w:val="000000" w:themeColor="text1"/>
            <w:sz w:val="17"/>
            <w:szCs w:val="17"/>
            <w:u w:val="none"/>
            <w:lang w:val="en-IN"/>
          </w:rPr>
          <w:t>https://doi.org/10.1016/j.agrformet.2006.10.006</w:t>
        </w:r>
      </w:hyperlink>
    </w:p>
    <w:p w14:paraId="30B5B94E"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López-López, M., </w:t>
      </w:r>
      <w:proofErr w:type="spellStart"/>
      <w:r w:rsidRPr="002F7029">
        <w:rPr>
          <w:rFonts w:ascii="Times New Roman" w:eastAsia="Times New Roman" w:hAnsi="Times New Roman" w:cs="Times New Roman"/>
          <w:bCs/>
          <w:color w:val="000000" w:themeColor="text1"/>
          <w:sz w:val="17"/>
          <w:szCs w:val="17"/>
          <w:lang w:val="en-IN"/>
        </w:rPr>
        <w:t>Espadafor</w:t>
      </w:r>
      <w:proofErr w:type="spellEnd"/>
      <w:r w:rsidRPr="002F7029">
        <w:rPr>
          <w:rFonts w:ascii="Times New Roman" w:eastAsia="Times New Roman" w:hAnsi="Times New Roman" w:cs="Times New Roman"/>
          <w:bCs/>
          <w:color w:val="000000" w:themeColor="text1"/>
          <w:sz w:val="17"/>
          <w:szCs w:val="17"/>
          <w:lang w:val="en-IN"/>
        </w:rPr>
        <w:t xml:space="preserve">, M., Testi, L., </w:t>
      </w:r>
      <w:proofErr w:type="spellStart"/>
      <w:r w:rsidRPr="002F7029">
        <w:rPr>
          <w:rFonts w:ascii="Times New Roman" w:eastAsia="Times New Roman" w:hAnsi="Times New Roman" w:cs="Times New Roman"/>
          <w:bCs/>
          <w:color w:val="000000" w:themeColor="text1"/>
          <w:sz w:val="17"/>
          <w:szCs w:val="17"/>
          <w:lang w:val="en-IN"/>
        </w:rPr>
        <w:t>Lorite</w:t>
      </w:r>
      <w:proofErr w:type="spellEnd"/>
      <w:r w:rsidRPr="002F7029">
        <w:rPr>
          <w:rFonts w:ascii="Times New Roman" w:eastAsia="Times New Roman" w:hAnsi="Times New Roman" w:cs="Times New Roman"/>
          <w:bCs/>
          <w:color w:val="000000" w:themeColor="text1"/>
          <w:sz w:val="17"/>
          <w:szCs w:val="17"/>
          <w:lang w:val="en-IN"/>
        </w:rPr>
        <w:t xml:space="preserve">, I. J., Orgaz, F., &amp; </w:t>
      </w:r>
      <w:proofErr w:type="spellStart"/>
      <w:r w:rsidRPr="002F7029">
        <w:rPr>
          <w:rFonts w:ascii="Times New Roman" w:eastAsia="Times New Roman" w:hAnsi="Times New Roman" w:cs="Times New Roman"/>
          <w:bCs/>
          <w:color w:val="000000" w:themeColor="text1"/>
          <w:sz w:val="17"/>
          <w:szCs w:val="17"/>
          <w:lang w:val="en-IN"/>
        </w:rPr>
        <w:t>Fereres</w:t>
      </w:r>
      <w:proofErr w:type="spellEnd"/>
      <w:r w:rsidRPr="002F7029">
        <w:rPr>
          <w:rFonts w:ascii="Times New Roman" w:eastAsia="Times New Roman" w:hAnsi="Times New Roman" w:cs="Times New Roman"/>
          <w:bCs/>
          <w:color w:val="000000" w:themeColor="text1"/>
          <w:sz w:val="17"/>
          <w:szCs w:val="17"/>
          <w:lang w:val="en-IN"/>
        </w:rPr>
        <w:t xml:space="preserve">, E. (2018). Yield response of almond trees to transpiration deficits. </w:t>
      </w:r>
      <w:r w:rsidRPr="002F7029">
        <w:rPr>
          <w:rFonts w:ascii="Times New Roman" w:eastAsia="Times New Roman" w:hAnsi="Times New Roman" w:cs="Times New Roman"/>
          <w:bCs/>
          <w:i/>
          <w:iCs/>
          <w:color w:val="000000" w:themeColor="text1"/>
          <w:sz w:val="17"/>
          <w:szCs w:val="17"/>
          <w:lang w:val="en-IN"/>
        </w:rPr>
        <w:t>Irrigation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36</w:t>
      </w:r>
      <w:r w:rsidRPr="002F7029">
        <w:rPr>
          <w:rFonts w:ascii="Times New Roman" w:eastAsia="Times New Roman" w:hAnsi="Times New Roman" w:cs="Times New Roman"/>
          <w:bCs/>
          <w:color w:val="000000" w:themeColor="text1"/>
          <w:sz w:val="17"/>
          <w:szCs w:val="17"/>
          <w:lang w:val="en-IN"/>
        </w:rPr>
        <w:t xml:space="preserve">(2), 111–120. </w:t>
      </w:r>
      <w:hyperlink r:id="rId108">
        <w:r w:rsidRPr="002F7029">
          <w:rPr>
            <w:rStyle w:val="Hyperlink"/>
            <w:rFonts w:ascii="Times New Roman" w:eastAsia="Times New Roman" w:hAnsi="Times New Roman" w:cs="Times New Roman"/>
            <w:bCs/>
            <w:color w:val="000000" w:themeColor="text1"/>
            <w:sz w:val="17"/>
            <w:szCs w:val="17"/>
            <w:u w:val="none"/>
            <w:lang w:val="en-IN"/>
          </w:rPr>
          <w:t>https://doi.org/10.1007/s00271-018-0568-x</w:t>
        </w:r>
      </w:hyperlink>
    </w:p>
    <w:p w14:paraId="4692AA7F"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Luedeling</w:t>
      </w:r>
      <w:proofErr w:type="spellEnd"/>
      <w:r w:rsidRPr="002F7029">
        <w:rPr>
          <w:rFonts w:ascii="Times New Roman" w:eastAsia="Times New Roman" w:hAnsi="Times New Roman" w:cs="Times New Roman"/>
          <w:bCs/>
          <w:color w:val="000000" w:themeColor="text1"/>
          <w:sz w:val="17"/>
          <w:szCs w:val="17"/>
          <w:lang w:val="en-IN"/>
        </w:rPr>
        <w:t xml:space="preserve">, E., &amp; Brown, P. H. (2011). A global analysis of the comparability of winter chill models for fruit and nut trees. </w:t>
      </w:r>
      <w:r w:rsidRPr="002F7029">
        <w:rPr>
          <w:rFonts w:ascii="Times New Roman" w:eastAsia="Times New Roman" w:hAnsi="Times New Roman" w:cs="Times New Roman"/>
          <w:bCs/>
          <w:i/>
          <w:iCs/>
          <w:color w:val="000000" w:themeColor="text1"/>
          <w:sz w:val="17"/>
          <w:szCs w:val="17"/>
          <w:lang w:val="en-IN"/>
        </w:rPr>
        <w:t>International Journal of Biometeorology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55</w:t>
      </w:r>
      <w:r w:rsidRPr="002F7029">
        <w:rPr>
          <w:rFonts w:ascii="Times New Roman" w:eastAsia="Times New Roman" w:hAnsi="Times New Roman" w:cs="Times New Roman"/>
          <w:bCs/>
          <w:color w:val="000000" w:themeColor="text1"/>
          <w:sz w:val="17"/>
          <w:szCs w:val="17"/>
          <w:lang w:val="en-IN"/>
        </w:rPr>
        <w:t xml:space="preserve">(3), 411–421. </w:t>
      </w:r>
      <w:hyperlink r:id="rId109">
        <w:r w:rsidRPr="002F7029">
          <w:rPr>
            <w:rStyle w:val="Hyperlink"/>
            <w:rFonts w:ascii="Times New Roman" w:eastAsia="Times New Roman" w:hAnsi="Times New Roman" w:cs="Times New Roman"/>
            <w:bCs/>
            <w:color w:val="000000" w:themeColor="text1"/>
            <w:sz w:val="17"/>
            <w:szCs w:val="17"/>
            <w:u w:val="none"/>
            <w:lang w:val="en-IN"/>
          </w:rPr>
          <w:t>https://doi.org/10.1007/s00484-010-0352-y</w:t>
        </w:r>
      </w:hyperlink>
    </w:p>
    <w:p w14:paraId="03A396B8"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Luedeling</w:t>
      </w:r>
      <w:proofErr w:type="spellEnd"/>
      <w:r w:rsidRPr="002F7029">
        <w:rPr>
          <w:rFonts w:ascii="Times New Roman" w:eastAsia="Times New Roman" w:hAnsi="Times New Roman" w:cs="Times New Roman"/>
          <w:bCs/>
          <w:color w:val="000000" w:themeColor="text1"/>
          <w:sz w:val="17"/>
          <w:szCs w:val="17"/>
          <w:lang w:val="en-IN"/>
        </w:rPr>
        <w:t xml:space="preserve">, E., </w:t>
      </w:r>
      <w:proofErr w:type="spellStart"/>
      <w:r w:rsidRPr="002F7029">
        <w:rPr>
          <w:rFonts w:ascii="Times New Roman" w:eastAsia="Times New Roman" w:hAnsi="Times New Roman" w:cs="Times New Roman"/>
          <w:bCs/>
          <w:color w:val="000000" w:themeColor="text1"/>
          <w:sz w:val="17"/>
          <w:szCs w:val="17"/>
          <w:lang w:val="en-IN"/>
        </w:rPr>
        <w:t>Girvetz</w:t>
      </w:r>
      <w:proofErr w:type="spellEnd"/>
      <w:r w:rsidRPr="002F7029">
        <w:rPr>
          <w:rFonts w:ascii="Times New Roman" w:eastAsia="Times New Roman" w:hAnsi="Times New Roman" w:cs="Times New Roman"/>
          <w:bCs/>
          <w:color w:val="000000" w:themeColor="text1"/>
          <w:sz w:val="17"/>
          <w:szCs w:val="17"/>
          <w:lang w:val="en-IN"/>
        </w:rPr>
        <w:t xml:space="preserve">, E. H., Semenov, M. A., &amp; Brown, P. H. (2011). Climate change affects winter chill for temperate fruit and nut trees. </w:t>
      </w:r>
      <w:proofErr w:type="spellStart"/>
      <w:r w:rsidRPr="002F7029">
        <w:rPr>
          <w:rFonts w:ascii="Times New Roman" w:eastAsia="Times New Roman" w:hAnsi="Times New Roman" w:cs="Times New Roman"/>
          <w:bCs/>
          <w:i/>
          <w:iCs/>
          <w:color w:val="000000" w:themeColor="text1"/>
          <w:sz w:val="17"/>
          <w:szCs w:val="17"/>
          <w:lang w:val="en-IN"/>
        </w:rPr>
        <w:t>PLoS</w:t>
      </w:r>
      <w:proofErr w:type="spellEnd"/>
      <w:r w:rsidRPr="002F7029">
        <w:rPr>
          <w:rFonts w:ascii="Times New Roman" w:eastAsia="Times New Roman" w:hAnsi="Times New Roman" w:cs="Times New Roman"/>
          <w:bCs/>
          <w:i/>
          <w:iCs/>
          <w:color w:val="000000" w:themeColor="text1"/>
          <w:sz w:val="17"/>
          <w:szCs w:val="17"/>
          <w:lang w:val="en-IN"/>
        </w:rPr>
        <w:t xml:space="preserve"> ONE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6</w:t>
      </w:r>
      <w:r w:rsidRPr="002F7029">
        <w:rPr>
          <w:rFonts w:ascii="Times New Roman" w:eastAsia="Times New Roman" w:hAnsi="Times New Roman" w:cs="Times New Roman"/>
          <w:bCs/>
          <w:color w:val="000000" w:themeColor="text1"/>
          <w:sz w:val="17"/>
          <w:szCs w:val="17"/>
          <w:lang w:val="en-IN"/>
        </w:rPr>
        <w:t xml:space="preserve">(5), Article e20155. </w:t>
      </w:r>
      <w:hyperlink r:id="rId110">
        <w:r w:rsidRPr="002F7029">
          <w:rPr>
            <w:rStyle w:val="Hyperlink"/>
            <w:rFonts w:ascii="Times New Roman" w:eastAsia="Times New Roman" w:hAnsi="Times New Roman" w:cs="Times New Roman"/>
            <w:bCs/>
            <w:color w:val="000000" w:themeColor="text1"/>
            <w:sz w:val="17"/>
            <w:szCs w:val="17"/>
            <w:u w:val="none"/>
            <w:lang w:val="en-IN"/>
          </w:rPr>
          <w:t>https://doi.org/10.1371/journal.pone.0020155</w:t>
        </w:r>
      </w:hyperlink>
    </w:p>
    <w:p w14:paraId="35D9B662"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Luedeling</w:t>
      </w:r>
      <w:proofErr w:type="spellEnd"/>
      <w:r w:rsidRPr="002F7029">
        <w:rPr>
          <w:rFonts w:ascii="Times New Roman" w:eastAsia="Times New Roman" w:hAnsi="Times New Roman" w:cs="Times New Roman"/>
          <w:bCs/>
          <w:color w:val="000000" w:themeColor="text1"/>
          <w:sz w:val="17"/>
          <w:szCs w:val="17"/>
          <w:lang w:val="en-IN"/>
        </w:rPr>
        <w:t xml:space="preserve">, E., </w:t>
      </w:r>
      <w:proofErr w:type="spellStart"/>
      <w:r w:rsidRPr="002F7029">
        <w:rPr>
          <w:rFonts w:ascii="Times New Roman" w:eastAsia="Times New Roman" w:hAnsi="Times New Roman" w:cs="Times New Roman"/>
          <w:bCs/>
          <w:color w:val="000000" w:themeColor="text1"/>
          <w:sz w:val="17"/>
          <w:szCs w:val="17"/>
          <w:lang w:val="en-IN"/>
        </w:rPr>
        <w:t>Schiffers</w:t>
      </w:r>
      <w:proofErr w:type="spellEnd"/>
      <w:r w:rsidRPr="002F7029">
        <w:rPr>
          <w:rFonts w:ascii="Times New Roman" w:eastAsia="Times New Roman" w:hAnsi="Times New Roman" w:cs="Times New Roman"/>
          <w:bCs/>
          <w:color w:val="000000" w:themeColor="text1"/>
          <w:sz w:val="17"/>
          <w:szCs w:val="17"/>
          <w:lang w:val="en-IN"/>
        </w:rPr>
        <w:t xml:space="preserve">, K., Fohrmann, T., &amp; Urbach, C. (2021). </w:t>
      </w:r>
      <w:proofErr w:type="spellStart"/>
      <w:r w:rsidRPr="002F7029">
        <w:rPr>
          <w:rFonts w:ascii="Times New Roman" w:eastAsia="Times New Roman" w:hAnsi="Times New Roman" w:cs="Times New Roman"/>
          <w:bCs/>
          <w:color w:val="000000" w:themeColor="text1"/>
          <w:sz w:val="17"/>
          <w:szCs w:val="17"/>
          <w:lang w:val="en-IN"/>
        </w:rPr>
        <w:t>PhenoFlex</w:t>
      </w:r>
      <w:proofErr w:type="spellEnd"/>
      <w:r w:rsidRPr="002F7029">
        <w:rPr>
          <w:rFonts w:ascii="Times New Roman" w:eastAsia="Times New Roman" w:hAnsi="Times New Roman" w:cs="Times New Roman"/>
          <w:bCs/>
          <w:color w:val="000000" w:themeColor="text1"/>
          <w:sz w:val="17"/>
          <w:szCs w:val="17"/>
          <w:lang w:val="en-IN"/>
        </w:rPr>
        <w:t xml:space="preserve"> – an integrated model to predict spring phenology in temperate fruit trees. </w:t>
      </w:r>
      <w:r w:rsidRPr="002F7029">
        <w:rPr>
          <w:rFonts w:ascii="Times New Roman" w:eastAsia="Times New Roman" w:hAnsi="Times New Roman" w:cs="Times New Roman"/>
          <w:bCs/>
          <w:i/>
          <w:iCs/>
          <w:color w:val="000000" w:themeColor="text1"/>
          <w:sz w:val="17"/>
          <w:szCs w:val="17"/>
          <w:lang w:val="en-IN"/>
        </w:rPr>
        <w:t>Agricultural and Forest Meteorology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307</w:t>
      </w:r>
      <w:r w:rsidRPr="002F7029">
        <w:rPr>
          <w:rFonts w:ascii="Times New Roman" w:eastAsia="Times New Roman" w:hAnsi="Times New Roman" w:cs="Times New Roman"/>
          <w:bCs/>
          <w:color w:val="000000" w:themeColor="text1"/>
          <w:sz w:val="17"/>
          <w:szCs w:val="17"/>
          <w:lang w:val="en-IN"/>
        </w:rPr>
        <w:t xml:space="preserve">, Article 108491. </w:t>
      </w:r>
      <w:hyperlink r:id="rId111">
        <w:r w:rsidRPr="002F7029">
          <w:rPr>
            <w:rStyle w:val="Hyperlink"/>
            <w:rFonts w:ascii="Times New Roman" w:eastAsia="Times New Roman" w:hAnsi="Times New Roman" w:cs="Times New Roman"/>
            <w:bCs/>
            <w:color w:val="000000" w:themeColor="text1"/>
            <w:sz w:val="17"/>
            <w:szCs w:val="17"/>
            <w:u w:val="none"/>
            <w:lang w:val="en-IN"/>
          </w:rPr>
          <w:t>https://doi.org/10.1016/j.agrformet.2021.108491</w:t>
        </w:r>
      </w:hyperlink>
    </w:p>
    <w:p w14:paraId="7C36A783"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nl-BE"/>
        </w:rPr>
        <w:t xml:space="preserve">Luedeling, E., Zhang, M., &amp; Girvetz, E. H. (2009). </w:t>
      </w:r>
      <w:r w:rsidRPr="002F7029">
        <w:rPr>
          <w:rFonts w:ascii="Times New Roman" w:eastAsia="Times New Roman" w:hAnsi="Times New Roman" w:cs="Times New Roman"/>
          <w:bCs/>
          <w:color w:val="000000" w:themeColor="text1"/>
          <w:sz w:val="17"/>
          <w:szCs w:val="17"/>
          <w:lang w:val="en-IN"/>
        </w:rPr>
        <w:t xml:space="preserve">Climatic changes lead to declining winter chill for fruit and nut trees in California during 1950–2099. </w:t>
      </w:r>
      <w:proofErr w:type="spellStart"/>
      <w:r w:rsidRPr="002F7029">
        <w:rPr>
          <w:rFonts w:ascii="Times New Roman" w:eastAsia="Times New Roman" w:hAnsi="Times New Roman" w:cs="Times New Roman"/>
          <w:bCs/>
          <w:i/>
          <w:iCs/>
          <w:color w:val="000000" w:themeColor="text1"/>
          <w:sz w:val="17"/>
          <w:szCs w:val="17"/>
          <w:lang w:val="en-IN"/>
        </w:rPr>
        <w:t>PLoS</w:t>
      </w:r>
      <w:proofErr w:type="spellEnd"/>
      <w:r w:rsidRPr="002F7029">
        <w:rPr>
          <w:rFonts w:ascii="Times New Roman" w:eastAsia="Times New Roman" w:hAnsi="Times New Roman" w:cs="Times New Roman"/>
          <w:bCs/>
          <w:i/>
          <w:iCs/>
          <w:color w:val="000000" w:themeColor="text1"/>
          <w:sz w:val="17"/>
          <w:szCs w:val="17"/>
          <w:lang w:val="en-IN"/>
        </w:rPr>
        <w:t xml:space="preserve"> ONE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4</w:t>
      </w:r>
      <w:r w:rsidRPr="002F7029">
        <w:rPr>
          <w:rFonts w:ascii="Times New Roman" w:eastAsia="Times New Roman" w:hAnsi="Times New Roman" w:cs="Times New Roman"/>
          <w:bCs/>
          <w:color w:val="000000" w:themeColor="text1"/>
          <w:sz w:val="17"/>
          <w:szCs w:val="17"/>
          <w:lang w:val="en-IN"/>
        </w:rPr>
        <w:t xml:space="preserve">(7), Article e6166. </w:t>
      </w:r>
      <w:hyperlink r:id="rId112">
        <w:r w:rsidRPr="002F7029">
          <w:rPr>
            <w:rStyle w:val="Hyperlink"/>
            <w:rFonts w:ascii="Times New Roman" w:eastAsia="Times New Roman" w:hAnsi="Times New Roman" w:cs="Times New Roman"/>
            <w:bCs/>
            <w:color w:val="000000" w:themeColor="text1"/>
            <w:sz w:val="17"/>
            <w:szCs w:val="17"/>
            <w:u w:val="none"/>
            <w:lang w:val="en-IN"/>
          </w:rPr>
          <w:t>https://doi.org/10.1371/journal.pone.0006166</w:t>
        </w:r>
      </w:hyperlink>
    </w:p>
    <w:p w14:paraId="57C54B98"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Lyrene</w:t>
      </w:r>
      <w:proofErr w:type="spellEnd"/>
      <w:r w:rsidRPr="002F7029">
        <w:rPr>
          <w:rFonts w:ascii="Times New Roman" w:eastAsia="Times New Roman" w:hAnsi="Times New Roman" w:cs="Times New Roman"/>
          <w:bCs/>
          <w:color w:val="000000" w:themeColor="text1"/>
          <w:sz w:val="17"/>
          <w:szCs w:val="17"/>
          <w:lang w:val="en-IN"/>
        </w:rPr>
        <w:t xml:space="preserve">, P. M. (2005). Breeding low-chill blueberries and peaches for subtropical areas. </w:t>
      </w:r>
      <w:proofErr w:type="spellStart"/>
      <w:r w:rsidRPr="002F7029">
        <w:rPr>
          <w:rFonts w:ascii="Times New Roman" w:eastAsia="Times New Roman" w:hAnsi="Times New Roman" w:cs="Times New Roman"/>
          <w:bCs/>
          <w:i/>
          <w:iCs/>
          <w:color w:val="000000" w:themeColor="text1"/>
          <w:sz w:val="17"/>
          <w:szCs w:val="17"/>
          <w:lang w:val="en-IN"/>
        </w:rPr>
        <w:t>HortScience</w:t>
      </w:r>
      <w:proofErr w:type="spellEnd"/>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40</w:t>
      </w:r>
      <w:r w:rsidRPr="002F7029">
        <w:rPr>
          <w:rFonts w:ascii="Times New Roman" w:eastAsia="Times New Roman" w:hAnsi="Times New Roman" w:cs="Times New Roman"/>
          <w:bCs/>
          <w:color w:val="000000" w:themeColor="text1"/>
          <w:sz w:val="17"/>
          <w:szCs w:val="17"/>
          <w:lang w:val="en-IN"/>
        </w:rPr>
        <w:t xml:space="preserve">(7), 1947–1949. </w:t>
      </w:r>
      <w:hyperlink r:id="rId113">
        <w:r w:rsidRPr="002F7029">
          <w:rPr>
            <w:rStyle w:val="Hyperlink"/>
            <w:rFonts w:ascii="Times New Roman" w:eastAsia="Times New Roman" w:hAnsi="Times New Roman" w:cs="Times New Roman"/>
            <w:bCs/>
            <w:color w:val="000000" w:themeColor="text1"/>
            <w:sz w:val="17"/>
            <w:szCs w:val="17"/>
            <w:u w:val="none"/>
            <w:lang w:val="en-IN"/>
          </w:rPr>
          <w:t>https://doi.org/10.21273/hortsci.40.7.1947</w:t>
        </w:r>
      </w:hyperlink>
    </w:p>
    <w:p w14:paraId="46F1DB90"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Magarelli, A., Mazzeo, A., &amp; Ferrara, G. (2024). Fruit crop species with agrivoltaic systems: A critical review. </w:t>
      </w:r>
      <w:r w:rsidRPr="002F7029">
        <w:rPr>
          <w:rFonts w:ascii="Times New Roman" w:eastAsia="Times New Roman" w:hAnsi="Times New Roman" w:cs="Times New Roman"/>
          <w:bCs/>
          <w:i/>
          <w:iCs/>
          <w:color w:val="000000" w:themeColor="text1"/>
          <w:sz w:val="17"/>
          <w:szCs w:val="17"/>
          <w:lang w:val="en-IN"/>
        </w:rPr>
        <w:t>Agronomy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14</w:t>
      </w:r>
      <w:r w:rsidRPr="002F7029">
        <w:rPr>
          <w:rFonts w:ascii="Times New Roman" w:eastAsia="Times New Roman" w:hAnsi="Times New Roman" w:cs="Times New Roman"/>
          <w:bCs/>
          <w:color w:val="000000" w:themeColor="text1"/>
          <w:sz w:val="17"/>
          <w:szCs w:val="17"/>
          <w:lang w:val="en-IN"/>
        </w:rPr>
        <w:t xml:space="preserve">(4), Article 722. </w:t>
      </w:r>
      <w:hyperlink r:id="rId114">
        <w:r w:rsidRPr="002F7029">
          <w:rPr>
            <w:rStyle w:val="Hyperlink"/>
            <w:rFonts w:ascii="Times New Roman" w:eastAsia="Times New Roman" w:hAnsi="Times New Roman" w:cs="Times New Roman"/>
            <w:bCs/>
            <w:color w:val="000000" w:themeColor="text1"/>
            <w:sz w:val="17"/>
            <w:szCs w:val="17"/>
            <w:u w:val="none"/>
            <w:lang w:val="en-IN"/>
          </w:rPr>
          <w:t>https://doi.org/10.3390/agronomy14040722</w:t>
        </w:r>
      </w:hyperlink>
    </w:p>
    <w:p w14:paraId="4780F8E1"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Malnoy</w:t>
      </w:r>
      <w:proofErr w:type="spellEnd"/>
      <w:r w:rsidRPr="002F7029">
        <w:rPr>
          <w:rFonts w:ascii="Times New Roman" w:eastAsia="Times New Roman" w:hAnsi="Times New Roman" w:cs="Times New Roman"/>
          <w:bCs/>
          <w:color w:val="000000" w:themeColor="text1"/>
          <w:sz w:val="17"/>
          <w:szCs w:val="17"/>
          <w:lang w:val="en-IN"/>
        </w:rPr>
        <w:t xml:space="preserve">, M., Viola, R., Jung, M.-H., Koo, O.-J., Kim, S., Kim, J.-S., Velasco, R., &amp; Nagamangala Kanchiswamy, C. (2016). DNA-free genetically edited grapevine and apple protoplast using CRISPR/Cas9 ribonucleoproteins. </w:t>
      </w:r>
      <w:r w:rsidRPr="002F7029">
        <w:rPr>
          <w:rFonts w:ascii="Times New Roman" w:eastAsia="Times New Roman" w:hAnsi="Times New Roman" w:cs="Times New Roman"/>
          <w:bCs/>
          <w:i/>
          <w:iCs/>
          <w:color w:val="000000" w:themeColor="text1"/>
          <w:sz w:val="17"/>
          <w:szCs w:val="17"/>
          <w:lang w:val="en-IN"/>
        </w:rPr>
        <w:t>Frontiers in Plant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7</w:t>
      </w:r>
      <w:r w:rsidRPr="002F7029">
        <w:rPr>
          <w:rFonts w:ascii="Times New Roman" w:eastAsia="Times New Roman" w:hAnsi="Times New Roman" w:cs="Times New Roman"/>
          <w:bCs/>
          <w:color w:val="000000" w:themeColor="text1"/>
          <w:sz w:val="17"/>
          <w:szCs w:val="17"/>
          <w:lang w:val="en-IN"/>
        </w:rPr>
        <w:t xml:space="preserve">, Article 1904. </w:t>
      </w:r>
      <w:hyperlink r:id="rId115">
        <w:r w:rsidRPr="002F7029">
          <w:rPr>
            <w:rStyle w:val="Hyperlink"/>
            <w:rFonts w:ascii="Times New Roman" w:eastAsia="Times New Roman" w:hAnsi="Times New Roman" w:cs="Times New Roman"/>
            <w:bCs/>
            <w:color w:val="000000" w:themeColor="text1"/>
            <w:sz w:val="17"/>
            <w:szCs w:val="17"/>
            <w:u w:val="none"/>
            <w:lang w:val="en-IN"/>
          </w:rPr>
          <w:t>https://doi.org/10.3389/fpls.2016.01904</w:t>
        </w:r>
      </w:hyperlink>
    </w:p>
    <w:p w14:paraId="39D8BA36"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nl-BE"/>
        </w:rPr>
      </w:pPr>
      <w:r w:rsidRPr="002F7029">
        <w:rPr>
          <w:rFonts w:ascii="Times New Roman" w:eastAsia="Times New Roman" w:hAnsi="Times New Roman" w:cs="Times New Roman"/>
          <w:bCs/>
          <w:color w:val="000000" w:themeColor="text1"/>
          <w:sz w:val="17"/>
          <w:szCs w:val="17"/>
          <w:lang w:val="en-IN"/>
        </w:rPr>
        <w:t xml:space="preserve">Manja, K., &amp; Aoun, M. (2019). The use of nets for tree fruit crops and their impact on the production: A review. </w:t>
      </w:r>
      <w:r w:rsidRPr="002F7029">
        <w:rPr>
          <w:rFonts w:ascii="Times New Roman" w:eastAsia="Times New Roman" w:hAnsi="Times New Roman" w:cs="Times New Roman"/>
          <w:bCs/>
          <w:i/>
          <w:iCs/>
          <w:color w:val="000000" w:themeColor="text1"/>
          <w:sz w:val="17"/>
          <w:szCs w:val="17"/>
          <w:lang w:val="nl-BE"/>
        </w:rPr>
        <w:t>Scientia Horticulturae</w:t>
      </w:r>
      <w:r w:rsidRPr="002F7029">
        <w:rPr>
          <w:rFonts w:ascii="Times New Roman" w:eastAsia="Times New Roman" w:hAnsi="Times New Roman" w:cs="Times New Roman"/>
          <w:bCs/>
          <w:color w:val="000000" w:themeColor="text1"/>
          <w:sz w:val="17"/>
          <w:szCs w:val="17"/>
          <w:lang w:val="nl-BE"/>
        </w:rPr>
        <w:t xml:space="preserve">, </w:t>
      </w:r>
      <w:r w:rsidRPr="002F7029">
        <w:rPr>
          <w:rFonts w:ascii="Times New Roman" w:eastAsia="Times New Roman" w:hAnsi="Times New Roman" w:cs="Times New Roman"/>
          <w:bCs/>
          <w:i/>
          <w:iCs/>
          <w:color w:val="000000" w:themeColor="text1"/>
          <w:sz w:val="17"/>
          <w:szCs w:val="17"/>
          <w:lang w:val="nl-BE"/>
        </w:rPr>
        <w:t>246</w:t>
      </w:r>
      <w:r w:rsidRPr="002F7029">
        <w:rPr>
          <w:rFonts w:ascii="Times New Roman" w:eastAsia="Times New Roman" w:hAnsi="Times New Roman" w:cs="Times New Roman"/>
          <w:bCs/>
          <w:color w:val="000000" w:themeColor="text1"/>
          <w:sz w:val="17"/>
          <w:szCs w:val="17"/>
          <w:lang w:val="nl-BE"/>
        </w:rPr>
        <w:t xml:space="preserve">, 110–122. </w:t>
      </w:r>
      <w:hyperlink r:id="rId116">
        <w:r w:rsidRPr="002F7029">
          <w:rPr>
            <w:rStyle w:val="Hyperlink"/>
            <w:rFonts w:ascii="Times New Roman" w:eastAsia="Times New Roman" w:hAnsi="Times New Roman" w:cs="Times New Roman"/>
            <w:bCs/>
            <w:color w:val="000000" w:themeColor="text1"/>
            <w:sz w:val="17"/>
            <w:szCs w:val="17"/>
            <w:u w:val="none"/>
            <w:lang w:val="nl-BE"/>
          </w:rPr>
          <w:t>https://doi.org/10.1016/j.scienta.2018.10.050</w:t>
        </w:r>
      </w:hyperlink>
    </w:p>
    <w:p w14:paraId="4A6C87BA"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nl-BE"/>
        </w:rPr>
        <w:t xml:space="preserve">Marguerit, E., Brendel, O., Lebon, E., van Leeuwen, C., &amp; Ollat, N. (2012). </w:t>
      </w:r>
      <w:r w:rsidRPr="002F7029">
        <w:rPr>
          <w:rFonts w:ascii="Times New Roman" w:eastAsia="Times New Roman" w:hAnsi="Times New Roman" w:cs="Times New Roman"/>
          <w:bCs/>
          <w:color w:val="000000" w:themeColor="text1"/>
          <w:sz w:val="17"/>
          <w:szCs w:val="17"/>
          <w:lang w:val="en-IN"/>
        </w:rPr>
        <w:t xml:space="preserve">Rootstock control of scion transpiration and its acclimation to water deficit are controlled by different genes. </w:t>
      </w:r>
      <w:r w:rsidRPr="002F7029">
        <w:rPr>
          <w:rFonts w:ascii="Times New Roman" w:eastAsia="Times New Roman" w:hAnsi="Times New Roman" w:cs="Times New Roman"/>
          <w:bCs/>
          <w:i/>
          <w:iCs/>
          <w:color w:val="000000" w:themeColor="text1"/>
          <w:sz w:val="17"/>
          <w:szCs w:val="17"/>
          <w:lang w:val="en-IN"/>
        </w:rPr>
        <w:t>New Phytologist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194</w:t>
      </w:r>
      <w:r w:rsidRPr="002F7029">
        <w:rPr>
          <w:rFonts w:ascii="Times New Roman" w:eastAsia="Times New Roman" w:hAnsi="Times New Roman" w:cs="Times New Roman"/>
          <w:bCs/>
          <w:color w:val="000000" w:themeColor="text1"/>
          <w:sz w:val="17"/>
          <w:szCs w:val="17"/>
          <w:lang w:val="en-IN"/>
        </w:rPr>
        <w:t xml:space="preserve">(2), 416–429. </w:t>
      </w:r>
      <w:hyperlink r:id="rId117">
        <w:r w:rsidRPr="002F7029">
          <w:rPr>
            <w:rStyle w:val="Hyperlink"/>
            <w:rFonts w:ascii="Times New Roman" w:eastAsia="Times New Roman" w:hAnsi="Times New Roman" w:cs="Times New Roman"/>
            <w:bCs/>
            <w:color w:val="000000" w:themeColor="text1"/>
            <w:sz w:val="17"/>
            <w:szCs w:val="17"/>
            <w:u w:val="none"/>
            <w:lang w:val="en-IN"/>
          </w:rPr>
          <w:t>https://doi.org/10.1111/j.1469-8137.2012.04059.x</w:t>
        </w:r>
      </w:hyperlink>
    </w:p>
    <w:p w14:paraId="409FC9CE"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lastRenderedPageBreak/>
        <w:t xml:space="preserve">Marigliano, L. E., Yu, R., Torres, N., Tanner, J. D., </w:t>
      </w:r>
      <w:proofErr w:type="spellStart"/>
      <w:r w:rsidRPr="002F7029">
        <w:rPr>
          <w:rFonts w:ascii="Times New Roman" w:eastAsia="Times New Roman" w:hAnsi="Times New Roman" w:cs="Times New Roman"/>
          <w:bCs/>
          <w:color w:val="000000" w:themeColor="text1"/>
          <w:sz w:val="17"/>
          <w:szCs w:val="17"/>
          <w:lang w:val="en-IN"/>
        </w:rPr>
        <w:t>Battany</w:t>
      </w:r>
      <w:proofErr w:type="spellEnd"/>
      <w:r w:rsidRPr="002F7029">
        <w:rPr>
          <w:rFonts w:ascii="Times New Roman" w:eastAsia="Times New Roman" w:hAnsi="Times New Roman" w:cs="Times New Roman"/>
          <w:bCs/>
          <w:color w:val="000000" w:themeColor="text1"/>
          <w:sz w:val="17"/>
          <w:szCs w:val="17"/>
          <w:lang w:val="en-IN"/>
        </w:rPr>
        <w:t xml:space="preserve">, M., &amp; </w:t>
      </w:r>
      <w:proofErr w:type="spellStart"/>
      <w:r w:rsidRPr="002F7029">
        <w:rPr>
          <w:rFonts w:ascii="Times New Roman" w:eastAsia="Times New Roman" w:hAnsi="Times New Roman" w:cs="Times New Roman"/>
          <w:bCs/>
          <w:color w:val="000000" w:themeColor="text1"/>
          <w:sz w:val="17"/>
          <w:szCs w:val="17"/>
          <w:lang w:val="en-IN"/>
        </w:rPr>
        <w:t>Kurtural</w:t>
      </w:r>
      <w:proofErr w:type="spellEnd"/>
      <w:r w:rsidRPr="002F7029">
        <w:rPr>
          <w:rFonts w:ascii="Times New Roman" w:eastAsia="Times New Roman" w:hAnsi="Times New Roman" w:cs="Times New Roman"/>
          <w:bCs/>
          <w:color w:val="000000" w:themeColor="text1"/>
          <w:sz w:val="17"/>
          <w:szCs w:val="17"/>
          <w:lang w:val="en-IN"/>
        </w:rPr>
        <w:t xml:space="preserve">, S. K. (2022). </w:t>
      </w:r>
      <w:proofErr w:type="spellStart"/>
      <w:r w:rsidRPr="002F7029">
        <w:rPr>
          <w:rFonts w:ascii="Times New Roman" w:eastAsia="Times New Roman" w:hAnsi="Times New Roman" w:cs="Times New Roman"/>
          <w:bCs/>
          <w:color w:val="000000" w:themeColor="text1"/>
          <w:sz w:val="17"/>
          <w:szCs w:val="17"/>
          <w:lang w:val="en-IN"/>
        </w:rPr>
        <w:t>Photoselective</w:t>
      </w:r>
      <w:proofErr w:type="spellEnd"/>
      <w:r w:rsidRPr="002F7029">
        <w:rPr>
          <w:rFonts w:ascii="Times New Roman" w:eastAsia="Times New Roman" w:hAnsi="Times New Roman" w:cs="Times New Roman"/>
          <w:bCs/>
          <w:color w:val="000000" w:themeColor="text1"/>
          <w:sz w:val="17"/>
          <w:szCs w:val="17"/>
          <w:lang w:val="en-IN"/>
        </w:rPr>
        <w:t xml:space="preserve"> shade films mitigate heat wave damage by reducing anthocyanin and </w:t>
      </w:r>
      <w:proofErr w:type="spellStart"/>
      <w:r w:rsidRPr="002F7029">
        <w:rPr>
          <w:rFonts w:ascii="Times New Roman" w:eastAsia="Times New Roman" w:hAnsi="Times New Roman" w:cs="Times New Roman"/>
          <w:bCs/>
          <w:color w:val="000000" w:themeColor="text1"/>
          <w:sz w:val="17"/>
          <w:szCs w:val="17"/>
          <w:lang w:val="en-IN"/>
        </w:rPr>
        <w:t>flavonol</w:t>
      </w:r>
      <w:proofErr w:type="spellEnd"/>
      <w:r w:rsidRPr="002F7029">
        <w:rPr>
          <w:rFonts w:ascii="Times New Roman" w:eastAsia="Times New Roman" w:hAnsi="Times New Roman" w:cs="Times New Roman"/>
          <w:bCs/>
          <w:color w:val="000000" w:themeColor="text1"/>
          <w:sz w:val="17"/>
          <w:szCs w:val="17"/>
          <w:lang w:val="en-IN"/>
        </w:rPr>
        <w:t xml:space="preserve"> degradation in grapevine (</w:t>
      </w:r>
      <w:r w:rsidRPr="002F7029">
        <w:rPr>
          <w:rFonts w:ascii="Times New Roman" w:eastAsia="Times New Roman" w:hAnsi="Times New Roman" w:cs="Times New Roman"/>
          <w:bCs/>
          <w:i/>
          <w:iCs/>
          <w:color w:val="000000" w:themeColor="text1"/>
          <w:sz w:val="17"/>
          <w:szCs w:val="17"/>
          <w:lang w:val="en-IN"/>
        </w:rPr>
        <w:t>Vitis vinifera</w:t>
      </w:r>
      <w:r w:rsidRPr="002F7029">
        <w:rPr>
          <w:rFonts w:ascii="Times New Roman" w:eastAsia="Times New Roman" w:hAnsi="Times New Roman" w:cs="Times New Roman"/>
          <w:bCs/>
          <w:color w:val="000000" w:themeColor="text1"/>
          <w:sz w:val="17"/>
          <w:szCs w:val="17"/>
          <w:lang w:val="en-IN"/>
        </w:rPr>
        <w:t xml:space="preserve"> L.) berries. </w:t>
      </w:r>
      <w:r w:rsidRPr="002F7029">
        <w:rPr>
          <w:rFonts w:ascii="Times New Roman" w:eastAsia="Times New Roman" w:hAnsi="Times New Roman" w:cs="Times New Roman"/>
          <w:bCs/>
          <w:i/>
          <w:iCs/>
          <w:color w:val="000000" w:themeColor="text1"/>
          <w:sz w:val="17"/>
          <w:szCs w:val="17"/>
          <w:lang w:val="en-IN"/>
        </w:rPr>
        <w:t>Frontiers in Agronomy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4</w:t>
      </w:r>
      <w:r w:rsidRPr="002F7029">
        <w:rPr>
          <w:rFonts w:ascii="Times New Roman" w:eastAsia="Times New Roman" w:hAnsi="Times New Roman" w:cs="Times New Roman"/>
          <w:bCs/>
          <w:color w:val="000000" w:themeColor="text1"/>
          <w:sz w:val="17"/>
          <w:szCs w:val="17"/>
          <w:lang w:val="en-IN"/>
        </w:rPr>
        <w:t xml:space="preserve">, Article 898870. </w:t>
      </w:r>
      <w:hyperlink r:id="rId118">
        <w:r w:rsidRPr="002F7029">
          <w:rPr>
            <w:rStyle w:val="Hyperlink"/>
            <w:rFonts w:ascii="Times New Roman" w:eastAsia="Times New Roman" w:hAnsi="Times New Roman" w:cs="Times New Roman"/>
            <w:bCs/>
            <w:color w:val="000000" w:themeColor="text1"/>
            <w:sz w:val="17"/>
            <w:szCs w:val="17"/>
            <w:u w:val="none"/>
            <w:lang w:val="en-IN"/>
          </w:rPr>
          <w:t>https://doi.org/10.3389/fagro.2022.898870</w:t>
        </w:r>
      </w:hyperlink>
    </w:p>
    <w:p w14:paraId="4D0DB881"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Martín-</w:t>
      </w:r>
      <w:proofErr w:type="spellStart"/>
      <w:r w:rsidRPr="002F7029">
        <w:rPr>
          <w:rFonts w:ascii="Times New Roman" w:eastAsia="Times New Roman" w:hAnsi="Times New Roman" w:cs="Times New Roman"/>
          <w:bCs/>
          <w:color w:val="000000" w:themeColor="text1"/>
          <w:sz w:val="17"/>
          <w:szCs w:val="17"/>
          <w:lang w:val="en-IN"/>
        </w:rPr>
        <w:t>Valmaseda</w:t>
      </w:r>
      <w:proofErr w:type="spellEnd"/>
      <w:r w:rsidRPr="002F7029">
        <w:rPr>
          <w:rFonts w:ascii="Times New Roman" w:eastAsia="Times New Roman" w:hAnsi="Times New Roman" w:cs="Times New Roman"/>
          <w:bCs/>
          <w:color w:val="000000" w:themeColor="text1"/>
          <w:sz w:val="17"/>
          <w:szCs w:val="17"/>
          <w:lang w:val="en-IN"/>
        </w:rPr>
        <w:t>, M., Devin, S. R., Ortuño-Hernández, G., Pérez-</w:t>
      </w:r>
      <w:proofErr w:type="spellStart"/>
      <w:r w:rsidRPr="002F7029">
        <w:rPr>
          <w:rFonts w:ascii="Times New Roman" w:eastAsia="Times New Roman" w:hAnsi="Times New Roman" w:cs="Times New Roman"/>
          <w:bCs/>
          <w:color w:val="000000" w:themeColor="text1"/>
          <w:sz w:val="17"/>
          <w:szCs w:val="17"/>
          <w:lang w:val="en-IN"/>
        </w:rPr>
        <w:t>Caselles</w:t>
      </w:r>
      <w:proofErr w:type="spellEnd"/>
      <w:r w:rsidRPr="002F7029">
        <w:rPr>
          <w:rFonts w:ascii="Times New Roman" w:eastAsia="Times New Roman" w:hAnsi="Times New Roman" w:cs="Times New Roman"/>
          <w:bCs/>
          <w:color w:val="000000" w:themeColor="text1"/>
          <w:sz w:val="17"/>
          <w:szCs w:val="17"/>
          <w:lang w:val="en-IN"/>
        </w:rPr>
        <w:t xml:space="preserve">, C., Mahdavi, S. M. E., </w:t>
      </w:r>
      <w:proofErr w:type="spellStart"/>
      <w:r w:rsidRPr="002F7029">
        <w:rPr>
          <w:rFonts w:ascii="Times New Roman" w:eastAsia="Times New Roman" w:hAnsi="Times New Roman" w:cs="Times New Roman"/>
          <w:bCs/>
          <w:color w:val="000000" w:themeColor="text1"/>
          <w:sz w:val="17"/>
          <w:szCs w:val="17"/>
          <w:lang w:val="en-IN"/>
        </w:rPr>
        <w:t>Bujdoso</w:t>
      </w:r>
      <w:proofErr w:type="spellEnd"/>
      <w:r w:rsidRPr="002F7029">
        <w:rPr>
          <w:rFonts w:ascii="Times New Roman" w:eastAsia="Times New Roman" w:hAnsi="Times New Roman" w:cs="Times New Roman"/>
          <w:bCs/>
          <w:color w:val="000000" w:themeColor="text1"/>
          <w:sz w:val="17"/>
          <w:szCs w:val="17"/>
          <w:lang w:val="en-IN"/>
        </w:rPr>
        <w:t xml:space="preserve">, G., Salazar, J. A., Martínez-Gómez, P., &amp; Alburquerque, N. (2023). CRISPR/Cas as a genome-editing technique in fruit tree breeding. </w:t>
      </w:r>
      <w:r w:rsidRPr="002F7029">
        <w:rPr>
          <w:rFonts w:ascii="Times New Roman" w:eastAsia="Times New Roman" w:hAnsi="Times New Roman" w:cs="Times New Roman"/>
          <w:bCs/>
          <w:i/>
          <w:iCs/>
          <w:color w:val="000000" w:themeColor="text1"/>
          <w:sz w:val="17"/>
          <w:szCs w:val="17"/>
          <w:lang w:val="en-IN"/>
        </w:rPr>
        <w:t>International Journal of Molecular Sciences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24</w:t>
      </w:r>
      <w:r w:rsidRPr="002F7029">
        <w:rPr>
          <w:rFonts w:ascii="Times New Roman" w:eastAsia="Times New Roman" w:hAnsi="Times New Roman" w:cs="Times New Roman"/>
          <w:bCs/>
          <w:color w:val="000000" w:themeColor="text1"/>
          <w:sz w:val="17"/>
          <w:szCs w:val="17"/>
          <w:lang w:val="en-IN"/>
        </w:rPr>
        <w:t xml:space="preserve">(23), Article 16656. </w:t>
      </w:r>
      <w:hyperlink r:id="rId119">
        <w:r w:rsidRPr="002F7029">
          <w:rPr>
            <w:rStyle w:val="Hyperlink"/>
            <w:rFonts w:ascii="Times New Roman" w:eastAsia="Times New Roman" w:hAnsi="Times New Roman" w:cs="Times New Roman"/>
            <w:bCs/>
            <w:color w:val="000000" w:themeColor="text1"/>
            <w:sz w:val="17"/>
            <w:szCs w:val="17"/>
            <w:u w:val="none"/>
            <w:lang w:val="en-IN"/>
          </w:rPr>
          <w:t>https://doi.org/10.3390/ijms242316656</w:t>
        </w:r>
      </w:hyperlink>
    </w:p>
    <w:p w14:paraId="226C1072"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McCutchan, H., &amp; </w:t>
      </w:r>
      <w:proofErr w:type="spellStart"/>
      <w:r w:rsidRPr="002F7029">
        <w:rPr>
          <w:rFonts w:ascii="Times New Roman" w:eastAsia="Times New Roman" w:hAnsi="Times New Roman" w:cs="Times New Roman"/>
          <w:bCs/>
          <w:color w:val="000000" w:themeColor="text1"/>
          <w:sz w:val="17"/>
          <w:szCs w:val="17"/>
          <w:lang w:val="en-IN"/>
        </w:rPr>
        <w:t>Shackel</w:t>
      </w:r>
      <w:proofErr w:type="spellEnd"/>
      <w:r w:rsidRPr="002F7029">
        <w:rPr>
          <w:rFonts w:ascii="Times New Roman" w:eastAsia="Times New Roman" w:hAnsi="Times New Roman" w:cs="Times New Roman"/>
          <w:bCs/>
          <w:color w:val="000000" w:themeColor="text1"/>
          <w:sz w:val="17"/>
          <w:szCs w:val="17"/>
          <w:lang w:val="en-IN"/>
        </w:rPr>
        <w:t>, K. A. (1992). Stem-water potential as a sensitive indicator of water stress in prune trees (</w:t>
      </w:r>
      <w:r w:rsidRPr="002F7029">
        <w:rPr>
          <w:rFonts w:ascii="Times New Roman" w:eastAsia="Times New Roman" w:hAnsi="Times New Roman" w:cs="Times New Roman"/>
          <w:bCs/>
          <w:i/>
          <w:iCs/>
          <w:color w:val="000000" w:themeColor="text1"/>
          <w:sz w:val="17"/>
          <w:szCs w:val="17"/>
          <w:lang w:val="en-IN"/>
        </w:rPr>
        <w:t>Prunus domestica</w:t>
      </w:r>
      <w:r w:rsidRPr="002F7029">
        <w:rPr>
          <w:rFonts w:ascii="Times New Roman" w:eastAsia="Times New Roman" w:hAnsi="Times New Roman" w:cs="Times New Roman"/>
          <w:bCs/>
          <w:color w:val="000000" w:themeColor="text1"/>
          <w:sz w:val="17"/>
          <w:szCs w:val="17"/>
          <w:lang w:val="en-IN"/>
        </w:rPr>
        <w:t xml:space="preserve"> L. cv. French). </w:t>
      </w:r>
      <w:r w:rsidRPr="002F7029">
        <w:rPr>
          <w:rFonts w:ascii="Times New Roman" w:eastAsia="Times New Roman" w:hAnsi="Times New Roman" w:cs="Times New Roman"/>
          <w:bCs/>
          <w:i/>
          <w:iCs/>
          <w:color w:val="000000" w:themeColor="text1"/>
          <w:sz w:val="17"/>
          <w:szCs w:val="17"/>
          <w:lang w:val="en-IN"/>
        </w:rPr>
        <w:t>Journal of the American Society for Horticultural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117</w:t>
      </w:r>
      <w:r w:rsidRPr="002F7029">
        <w:rPr>
          <w:rFonts w:ascii="Times New Roman" w:eastAsia="Times New Roman" w:hAnsi="Times New Roman" w:cs="Times New Roman"/>
          <w:bCs/>
          <w:color w:val="000000" w:themeColor="text1"/>
          <w:sz w:val="17"/>
          <w:szCs w:val="17"/>
          <w:lang w:val="en-IN"/>
        </w:rPr>
        <w:t xml:space="preserve">(4), 607–611. </w:t>
      </w:r>
      <w:hyperlink r:id="rId120">
        <w:r w:rsidRPr="002F7029">
          <w:rPr>
            <w:rStyle w:val="Hyperlink"/>
            <w:rFonts w:ascii="Times New Roman" w:eastAsia="Times New Roman" w:hAnsi="Times New Roman" w:cs="Times New Roman"/>
            <w:bCs/>
            <w:color w:val="000000" w:themeColor="text1"/>
            <w:sz w:val="17"/>
            <w:szCs w:val="17"/>
            <w:u w:val="none"/>
            <w:lang w:val="en-IN"/>
          </w:rPr>
          <w:t>https://doi.org/10.21273/jashs.117.4.607</w:t>
        </w:r>
      </w:hyperlink>
    </w:p>
    <w:p w14:paraId="26BFA841"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Mditshwa, A., Magwaza, L. S., &amp; Tesfay, S. Z. (2019). Shade netting on subtropical fruit: Effect on environmental conditions, tree physiology and fruit quality. </w:t>
      </w:r>
      <w:r w:rsidRPr="002F7029">
        <w:rPr>
          <w:rFonts w:ascii="Times New Roman" w:eastAsia="Times New Roman" w:hAnsi="Times New Roman" w:cs="Times New Roman"/>
          <w:bCs/>
          <w:i/>
          <w:iCs/>
          <w:color w:val="000000" w:themeColor="text1"/>
          <w:sz w:val="17"/>
          <w:szCs w:val="17"/>
          <w:lang w:val="en-IN"/>
        </w:rPr>
        <w:t xml:space="preserve">Scientia </w:t>
      </w:r>
      <w:proofErr w:type="spellStart"/>
      <w:r w:rsidRPr="002F7029">
        <w:rPr>
          <w:rFonts w:ascii="Times New Roman" w:eastAsia="Times New Roman" w:hAnsi="Times New Roman" w:cs="Times New Roman"/>
          <w:bCs/>
          <w:i/>
          <w:iCs/>
          <w:color w:val="000000" w:themeColor="text1"/>
          <w:sz w:val="17"/>
          <w:szCs w:val="17"/>
          <w:lang w:val="en-IN"/>
        </w:rPr>
        <w:t>Horticulturae</w:t>
      </w:r>
      <w:proofErr w:type="spellEnd"/>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256</w:t>
      </w:r>
      <w:r w:rsidRPr="002F7029">
        <w:rPr>
          <w:rFonts w:ascii="Times New Roman" w:eastAsia="Times New Roman" w:hAnsi="Times New Roman" w:cs="Times New Roman"/>
          <w:bCs/>
          <w:color w:val="000000" w:themeColor="text1"/>
          <w:sz w:val="17"/>
          <w:szCs w:val="17"/>
          <w:lang w:val="en-IN"/>
        </w:rPr>
        <w:t xml:space="preserve">, Article 108556. </w:t>
      </w:r>
      <w:hyperlink r:id="rId121">
        <w:r w:rsidRPr="002F7029">
          <w:rPr>
            <w:rStyle w:val="Hyperlink"/>
            <w:rFonts w:ascii="Times New Roman" w:eastAsia="Times New Roman" w:hAnsi="Times New Roman" w:cs="Times New Roman"/>
            <w:bCs/>
            <w:color w:val="000000" w:themeColor="text1"/>
            <w:sz w:val="17"/>
            <w:szCs w:val="17"/>
            <w:u w:val="none"/>
            <w:lang w:val="en-IN"/>
          </w:rPr>
          <w:t>https://doi.org/10.1016/j.scienta.2019.108556</w:t>
        </w:r>
      </w:hyperlink>
    </w:p>
    <w:p w14:paraId="21A679FE"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Medda, S., Fadda, A., &amp; Mulas, M. (2022). Influence of climate change on metabolism and biological characteristics in perennial woody fruit crops in the Mediterranean environment. </w:t>
      </w:r>
      <w:proofErr w:type="spellStart"/>
      <w:r w:rsidRPr="002F7029">
        <w:rPr>
          <w:rFonts w:ascii="Times New Roman" w:eastAsia="Times New Roman" w:hAnsi="Times New Roman" w:cs="Times New Roman"/>
          <w:bCs/>
          <w:i/>
          <w:iCs/>
          <w:color w:val="000000" w:themeColor="text1"/>
          <w:sz w:val="17"/>
          <w:szCs w:val="17"/>
          <w:lang w:val="en-IN"/>
        </w:rPr>
        <w:t>Horticulturae</w:t>
      </w:r>
      <w:proofErr w:type="spellEnd"/>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8</w:t>
      </w:r>
      <w:r w:rsidRPr="002F7029">
        <w:rPr>
          <w:rFonts w:ascii="Times New Roman" w:eastAsia="Times New Roman" w:hAnsi="Times New Roman" w:cs="Times New Roman"/>
          <w:bCs/>
          <w:color w:val="000000" w:themeColor="text1"/>
          <w:sz w:val="17"/>
          <w:szCs w:val="17"/>
          <w:lang w:val="en-IN"/>
        </w:rPr>
        <w:t xml:space="preserve">(4), Article 273. </w:t>
      </w:r>
      <w:hyperlink r:id="rId122">
        <w:r w:rsidRPr="002F7029">
          <w:rPr>
            <w:rStyle w:val="Hyperlink"/>
            <w:rFonts w:ascii="Times New Roman" w:eastAsia="Times New Roman" w:hAnsi="Times New Roman" w:cs="Times New Roman"/>
            <w:bCs/>
            <w:color w:val="000000" w:themeColor="text1"/>
            <w:sz w:val="17"/>
            <w:szCs w:val="17"/>
            <w:u w:val="none"/>
            <w:lang w:val="en-IN"/>
          </w:rPr>
          <w:t>https://doi.org/10.3390/horticulturae8040273</w:t>
        </w:r>
      </w:hyperlink>
    </w:p>
    <w:p w14:paraId="0AA2B77B"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Migicovsky, Z., Harris, Z. N., Klein, L. L., Li, M., McDermaid, A., Chitwood, D. H., Fennell, A., Kovacs, L. G., Kwasniewski, M., Londo, J. P., Ma, Q., &amp; Miller, A. J. (2019). Rootstock effects on scion phenotypes in a ‘Chambourcin’ experimental vineyard. </w:t>
      </w:r>
      <w:r w:rsidRPr="002F7029">
        <w:rPr>
          <w:rFonts w:ascii="Times New Roman" w:eastAsia="Times New Roman" w:hAnsi="Times New Roman" w:cs="Times New Roman"/>
          <w:bCs/>
          <w:i/>
          <w:iCs/>
          <w:color w:val="000000" w:themeColor="text1"/>
          <w:sz w:val="17"/>
          <w:szCs w:val="17"/>
          <w:lang w:val="en-IN"/>
        </w:rPr>
        <w:t>Horticulture Research</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6</w:t>
      </w:r>
      <w:r w:rsidRPr="002F7029">
        <w:rPr>
          <w:rFonts w:ascii="Times New Roman" w:eastAsia="Times New Roman" w:hAnsi="Times New Roman" w:cs="Times New Roman"/>
          <w:bCs/>
          <w:color w:val="000000" w:themeColor="text1"/>
          <w:sz w:val="17"/>
          <w:szCs w:val="17"/>
          <w:lang w:val="en-IN"/>
        </w:rPr>
        <w:t xml:space="preserve">(1), Article 64. </w:t>
      </w:r>
      <w:hyperlink r:id="rId123">
        <w:r w:rsidRPr="002F7029">
          <w:rPr>
            <w:rStyle w:val="Hyperlink"/>
            <w:rFonts w:ascii="Times New Roman" w:eastAsia="Times New Roman" w:hAnsi="Times New Roman" w:cs="Times New Roman"/>
            <w:bCs/>
            <w:color w:val="000000" w:themeColor="text1"/>
            <w:sz w:val="17"/>
            <w:szCs w:val="17"/>
            <w:u w:val="none"/>
            <w:lang w:val="en-IN"/>
          </w:rPr>
          <w:t>https://doi.org/10.1038/s41438-019-0146-2</w:t>
        </w:r>
      </w:hyperlink>
    </w:p>
    <w:p w14:paraId="1F65919F"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nl-BE"/>
        </w:rPr>
      </w:pPr>
      <w:proofErr w:type="spellStart"/>
      <w:r w:rsidRPr="002F7029">
        <w:rPr>
          <w:rFonts w:ascii="Times New Roman" w:eastAsia="Times New Roman" w:hAnsi="Times New Roman" w:cs="Times New Roman"/>
          <w:bCs/>
          <w:color w:val="000000" w:themeColor="text1"/>
          <w:sz w:val="17"/>
          <w:szCs w:val="17"/>
          <w:lang w:val="en-IN"/>
        </w:rPr>
        <w:t>Moldero</w:t>
      </w:r>
      <w:proofErr w:type="spellEnd"/>
      <w:r w:rsidRPr="002F7029">
        <w:rPr>
          <w:rFonts w:ascii="Times New Roman" w:eastAsia="Times New Roman" w:hAnsi="Times New Roman" w:cs="Times New Roman"/>
          <w:bCs/>
          <w:color w:val="000000" w:themeColor="text1"/>
          <w:sz w:val="17"/>
          <w:szCs w:val="17"/>
          <w:lang w:val="en-IN"/>
        </w:rPr>
        <w:t xml:space="preserve">, D., López-Bernal, Á., Testi, L., </w:t>
      </w:r>
      <w:proofErr w:type="spellStart"/>
      <w:r w:rsidRPr="002F7029">
        <w:rPr>
          <w:rFonts w:ascii="Times New Roman" w:eastAsia="Times New Roman" w:hAnsi="Times New Roman" w:cs="Times New Roman"/>
          <w:bCs/>
          <w:color w:val="000000" w:themeColor="text1"/>
          <w:sz w:val="17"/>
          <w:szCs w:val="17"/>
          <w:lang w:val="en-IN"/>
        </w:rPr>
        <w:t>Lorite</w:t>
      </w:r>
      <w:proofErr w:type="spellEnd"/>
      <w:r w:rsidRPr="002F7029">
        <w:rPr>
          <w:rFonts w:ascii="Times New Roman" w:eastAsia="Times New Roman" w:hAnsi="Times New Roman" w:cs="Times New Roman"/>
          <w:bCs/>
          <w:color w:val="000000" w:themeColor="text1"/>
          <w:sz w:val="17"/>
          <w:szCs w:val="17"/>
          <w:lang w:val="en-IN"/>
        </w:rPr>
        <w:t xml:space="preserve">, I. J., </w:t>
      </w:r>
      <w:proofErr w:type="spellStart"/>
      <w:r w:rsidRPr="002F7029">
        <w:rPr>
          <w:rFonts w:ascii="Times New Roman" w:eastAsia="Times New Roman" w:hAnsi="Times New Roman" w:cs="Times New Roman"/>
          <w:bCs/>
          <w:color w:val="000000" w:themeColor="text1"/>
          <w:sz w:val="17"/>
          <w:szCs w:val="17"/>
          <w:lang w:val="en-IN"/>
        </w:rPr>
        <w:t>Fereres</w:t>
      </w:r>
      <w:proofErr w:type="spellEnd"/>
      <w:r w:rsidRPr="002F7029">
        <w:rPr>
          <w:rFonts w:ascii="Times New Roman" w:eastAsia="Times New Roman" w:hAnsi="Times New Roman" w:cs="Times New Roman"/>
          <w:bCs/>
          <w:color w:val="000000" w:themeColor="text1"/>
          <w:sz w:val="17"/>
          <w:szCs w:val="17"/>
          <w:lang w:val="en-IN"/>
        </w:rPr>
        <w:t xml:space="preserve">, E., &amp; Orgaz, F. (2021). Long-term almond yield response to deficit irrigation. </w:t>
      </w:r>
      <w:r w:rsidRPr="002F7029">
        <w:rPr>
          <w:rFonts w:ascii="Times New Roman" w:eastAsia="Times New Roman" w:hAnsi="Times New Roman" w:cs="Times New Roman"/>
          <w:bCs/>
          <w:i/>
          <w:iCs/>
          <w:color w:val="000000" w:themeColor="text1"/>
          <w:sz w:val="17"/>
          <w:szCs w:val="17"/>
          <w:lang w:val="en-IN"/>
        </w:rPr>
        <w:t>Irrigation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39</w:t>
      </w:r>
      <w:r w:rsidRPr="002F7029">
        <w:rPr>
          <w:rFonts w:ascii="Times New Roman" w:eastAsia="Times New Roman" w:hAnsi="Times New Roman" w:cs="Times New Roman"/>
          <w:bCs/>
          <w:color w:val="000000" w:themeColor="text1"/>
          <w:sz w:val="17"/>
          <w:szCs w:val="17"/>
          <w:lang w:val="en-IN"/>
        </w:rPr>
        <w:t xml:space="preserve">(4), 409–420. </w:t>
      </w:r>
      <w:hyperlink r:id="rId124">
        <w:r w:rsidRPr="002F7029">
          <w:rPr>
            <w:rStyle w:val="Hyperlink"/>
            <w:rFonts w:ascii="Times New Roman" w:eastAsia="Times New Roman" w:hAnsi="Times New Roman" w:cs="Times New Roman"/>
            <w:bCs/>
            <w:color w:val="000000" w:themeColor="text1"/>
            <w:sz w:val="17"/>
            <w:szCs w:val="17"/>
            <w:u w:val="none"/>
            <w:lang w:val="nl-BE"/>
          </w:rPr>
          <w:t>https://doi.org/10.1007/s00271-021-00720-8</w:t>
        </w:r>
      </w:hyperlink>
    </w:p>
    <w:p w14:paraId="1690537C"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nl-BE"/>
        </w:rPr>
        <w:t xml:space="preserve">Morales-Castilla, I., García de Cortázar-Atauri, I., Cook, B. I., Lacombe, T., Parker, A., van Leeuwen, C., Nicholas, K. A., &amp; Wolkovich, E. M. (2020). </w:t>
      </w:r>
      <w:r w:rsidRPr="002F7029">
        <w:rPr>
          <w:rFonts w:ascii="Times New Roman" w:eastAsia="Times New Roman" w:hAnsi="Times New Roman" w:cs="Times New Roman"/>
          <w:bCs/>
          <w:color w:val="000000" w:themeColor="text1"/>
          <w:sz w:val="17"/>
          <w:szCs w:val="17"/>
          <w:lang w:val="en-IN"/>
        </w:rPr>
        <w:t xml:space="preserve">Diversity buffers winegrowing regions from climate change losses. </w:t>
      </w:r>
      <w:r w:rsidRPr="002F7029">
        <w:rPr>
          <w:rFonts w:ascii="Times New Roman" w:eastAsia="Times New Roman" w:hAnsi="Times New Roman" w:cs="Times New Roman"/>
          <w:bCs/>
          <w:i/>
          <w:iCs/>
          <w:color w:val="000000" w:themeColor="text1"/>
          <w:sz w:val="17"/>
          <w:szCs w:val="17"/>
          <w:lang w:val="en-IN"/>
        </w:rPr>
        <w:t>Proceedings of the National Academy of Sciences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117</w:t>
      </w:r>
      <w:r w:rsidRPr="002F7029">
        <w:rPr>
          <w:rFonts w:ascii="Times New Roman" w:eastAsia="Times New Roman" w:hAnsi="Times New Roman" w:cs="Times New Roman"/>
          <w:bCs/>
          <w:color w:val="000000" w:themeColor="text1"/>
          <w:sz w:val="17"/>
          <w:szCs w:val="17"/>
          <w:lang w:val="en-IN"/>
        </w:rPr>
        <w:t xml:space="preserve">(6), 2864–2869. </w:t>
      </w:r>
      <w:hyperlink r:id="rId125">
        <w:r w:rsidRPr="002F7029">
          <w:rPr>
            <w:rStyle w:val="Hyperlink"/>
            <w:rFonts w:ascii="Times New Roman" w:eastAsia="Times New Roman" w:hAnsi="Times New Roman" w:cs="Times New Roman"/>
            <w:bCs/>
            <w:color w:val="000000" w:themeColor="text1"/>
            <w:sz w:val="17"/>
            <w:szCs w:val="17"/>
            <w:u w:val="none"/>
            <w:lang w:val="en-IN"/>
          </w:rPr>
          <w:t>https://doi.org/10.1073/pnas.1906731117</w:t>
        </w:r>
      </w:hyperlink>
    </w:p>
    <w:p w14:paraId="39DF83E7"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Moratiel</w:t>
      </w:r>
      <w:proofErr w:type="spellEnd"/>
      <w:r w:rsidRPr="002F7029">
        <w:rPr>
          <w:rFonts w:ascii="Times New Roman" w:eastAsia="Times New Roman" w:hAnsi="Times New Roman" w:cs="Times New Roman"/>
          <w:bCs/>
          <w:color w:val="000000" w:themeColor="text1"/>
          <w:sz w:val="17"/>
          <w:szCs w:val="17"/>
          <w:lang w:val="en-IN"/>
        </w:rPr>
        <w:t xml:space="preserve">, R., &amp; Martínez-Cob, A. (2012). Evapotranspiration of grapevine trained to a gable trellis system under netting and black plastic mulching. </w:t>
      </w:r>
      <w:r w:rsidRPr="002F7029">
        <w:rPr>
          <w:rFonts w:ascii="Times New Roman" w:eastAsia="Times New Roman" w:hAnsi="Times New Roman" w:cs="Times New Roman"/>
          <w:bCs/>
          <w:i/>
          <w:iCs/>
          <w:color w:val="000000" w:themeColor="text1"/>
          <w:sz w:val="17"/>
          <w:szCs w:val="17"/>
          <w:lang w:val="en-IN"/>
        </w:rPr>
        <w:t>Irrigation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30</w:t>
      </w:r>
      <w:r w:rsidRPr="002F7029">
        <w:rPr>
          <w:rFonts w:ascii="Times New Roman" w:eastAsia="Times New Roman" w:hAnsi="Times New Roman" w:cs="Times New Roman"/>
          <w:bCs/>
          <w:color w:val="000000" w:themeColor="text1"/>
          <w:sz w:val="17"/>
          <w:szCs w:val="17"/>
          <w:lang w:val="en-IN"/>
        </w:rPr>
        <w:t xml:space="preserve">(3), 167–178. </w:t>
      </w:r>
      <w:hyperlink r:id="rId126">
        <w:r w:rsidRPr="002F7029">
          <w:rPr>
            <w:rStyle w:val="Hyperlink"/>
            <w:rFonts w:ascii="Times New Roman" w:eastAsia="Times New Roman" w:hAnsi="Times New Roman" w:cs="Times New Roman"/>
            <w:bCs/>
            <w:color w:val="000000" w:themeColor="text1"/>
            <w:sz w:val="17"/>
            <w:szCs w:val="17"/>
            <w:u w:val="none"/>
            <w:lang w:val="en-IN"/>
          </w:rPr>
          <w:t>https://doi.org/10.1007/s00271-011-0275-3</w:t>
        </w:r>
      </w:hyperlink>
    </w:p>
    <w:p w14:paraId="4ED4162D"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nl-BE"/>
        </w:rPr>
      </w:pPr>
      <w:proofErr w:type="spellStart"/>
      <w:r w:rsidRPr="002F7029">
        <w:rPr>
          <w:rFonts w:ascii="Times New Roman" w:eastAsia="Times New Roman" w:hAnsi="Times New Roman" w:cs="Times New Roman"/>
          <w:bCs/>
          <w:color w:val="000000" w:themeColor="text1"/>
          <w:sz w:val="17"/>
          <w:szCs w:val="17"/>
          <w:lang w:val="en-IN"/>
        </w:rPr>
        <w:t>Mupambi</w:t>
      </w:r>
      <w:proofErr w:type="spellEnd"/>
      <w:r w:rsidRPr="002F7029">
        <w:rPr>
          <w:rFonts w:ascii="Times New Roman" w:eastAsia="Times New Roman" w:hAnsi="Times New Roman" w:cs="Times New Roman"/>
          <w:bCs/>
          <w:color w:val="000000" w:themeColor="text1"/>
          <w:sz w:val="17"/>
          <w:szCs w:val="17"/>
          <w:lang w:val="en-IN"/>
        </w:rPr>
        <w:t xml:space="preserve">, G., Anthony, B. M., Layne, D. R., </w:t>
      </w:r>
      <w:proofErr w:type="spellStart"/>
      <w:r w:rsidRPr="002F7029">
        <w:rPr>
          <w:rFonts w:ascii="Times New Roman" w:eastAsia="Times New Roman" w:hAnsi="Times New Roman" w:cs="Times New Roman"/>
          <w:bCs/>
          <w:color w:val="000000" w:themeColor="text1"/>
          <w:sz w:val="17"/>
          <w:szCs w:val="17"/>
          <w:lang w:val="en-IN"/>
        </w:rPr>
        <w:t>Musacchi</w:t>
      </w:r>
      <w:proofErr w:type="spellEnd"/>
      <w:r w:rsidRPr="002F7029">
        <w:rPr>
          <w:rFonts w:ascii="Times New Roman" w:eastAsia="Times New Roman" w:hAnsi="Times New Roman" w:cs="Times New Roman"/>
          <w:bCs/>
          <w:color w:val="000000" w:themeColor="text1"/>
          <w:sz w:val="17"/>
          <w:szCs w:val="17"/>
          <w:lang w:val="en-IN"/>
        </w:rPr>
        <w:t xml:space="preserve">, S., Serra, S., Schmidt, T., &amp; </w:t>
      </w:r>
      <w:proofErr w:type="spellStart"/>
      <w:r w:rsidRPr="002F7029">
        <w:rPr>
          <w:rFonts w:ascii="Times New Roman" w:eastAsia="Times New Roman" w:hAnsi="Times New Roman" w:cs="Times New Roman"/>
          <w:bCs/>
          <w:color w:val="000000" w:themeColor="text1"/>
          <w:sz w:val="17"/>
          <w:szCs w:val="17"/>
          <w:lang w:val="en-IN"/>
        </w:rPr>
        <w:t>Kalcsits</w:t>
      </w:r>
      <w:proofErr w:type="spellEnd"/>
      <w:r w:rsidRPr="002F7029">
        <w:rPr>
          <w:rFonts w:ascii="Times New Roman" w:eastAsia="Times New Roman" w:hAnsi="Times New Roman" w:cs="Times New Roman"/>
          <w:bCs/>
          <w:color w:val="000000" w:themeColor="text1"/>
          <w:sz w:val="17"/>
          <w:szCs w:val="17"/>
          <w:lang w:val="en-IN"/>
        </w:rPr>
        <w:t xml:space="preserve">, L. A. (2018). The influence of protective netting on tree physiology and fruit quality of apple: A review. </w:t>
      </w:r>
      <w:r w:rsidRPr="002F7029">
        <w:rPr>
          <w:rFonts w:ascii="Times New Roman" w:eastAsia="Times New Roman" w:hAnsi="Times New Roman" w:cs="Times New Roman"/>
          <w:bCs/>
          <w:i/>
          <w:iCs/>
          <w:color w:val="000000" w:themeColor="text1"/>
          <w:sz w:val="17"/>
          <w:szCs w:val="17"/>
          <w:lang w:val="nl-BE"/>
        </w:rPr>
        <w:t>Scientia Horticulturae</w:t>
      </w:r>
      <w:r w:rsidRPr="002F7029">
        <w:rPr>
          <w:rFonts w:ascii="Times New Roman" w:eastAsia="Times New Roman" w:hAnsi="Times New Roman" w:cs="Times New Roman"/>
          <w:bCs/>
          <w:color w:val="000000" w:themeColor="text1"/>
          <w:sz w:val="17"/>
          <w:szCs w:val="17"/>
          <w:lang w:val="nl-BE"/>
        </w:rPr>
        <w:t xml:space="preserve">, </w:t>
      </w:r>
      <w:r w:rsidRPr="002F7029">
        <w:rPr>
          <w:rFonts w:ascii="Times New Roman" w:eastAsia="Times New Roman" w:hAnsi="Times New Roman" w:cs="Times New Roman"/>
          <w:bCs/>
          <w:i/>
          <w:iCs/>
          <w:color w:val="000000" w:themeColor="text1"/>
          <w:sz w:val="17"/>
          <w:szCs w:val="17"/>
          <w:lang w:val="nl-BE"/>
        </w:rPr>
        <w:t>236</w:t>
      </w:r>
      <w:r w:rsidRPr="002F7029">
        <w:rPr>
          <w:rFonts w:ascii="Times New Roman" w:eastAsia="Times New Roman" w:hAnsi="Times New Roman" w:cs="Times New Roman"/>
          <w:bCs/>
          <w:color w:val="000000" w:themeColor="text1"/>
          <w:sz w:val="17"/>
          <w:szCs w:val="17"/>
          <w:lang w:val="nl-BE"/>
        </w:rPr>
        <w:t xml:space="preserve">, 60–72. </w:t>
      </w:r>
      <w:hyperlink r:id="rId127">
        <w:r w:rsidRPr="002F7029">
          <w:rPr>
            <w:rStyle w:val="Hyperlink"/>
            <w:rFonts w:ascii="Times New Roman" w:eastAsia="Times New Roman" w:hAnsi="Times New Roman" w:cs="Times New Roman"/>
            <w:bCs/>
            <w:color w:val="000000" w:themeColor="text1"/>
            <w:sz w:val="17"/>
            <w:szCs w:val="17"/>
            <w:u w:val="none"/>
            <w:lang w:val="nl-BE"/>
          </w:rPr>
          <w:t>https://doi.org/10.1016/j.scienta.2018.03.014</w:t>
        </w:r>
      </w:hyperlink>
    </w:p>
    <w:p w14:paraId="39638D59"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nl-BE"/>
        </w:rPr>
        <w:t xml:space="preserve">Muranty, H., Troggio, M., Ben Sadok, I., Al Rifaï, M., Auwerkerken, A., Banchi, E., Velasco, R., Stevanato, P., van de Weg, W. E., Di Guardo, M., Kumar, S., Laurens, F., &amp; Bink, M. C. A. M. (2015). </w:t>
      </w:r>
      <w:r w:rsidRPr="002F7029">
        <w:rPr>
          <w:rFonts w:ascii="Times New Roman" w:eastAsia="Times New Roman" w:hAnsi="Times New Roman" w:cs="Times New Roman"/>
          <w:bCs/>
          <w:color w:val="000000" w:themeColor="text1"/>
          <w:sz w:val="17"/>
          <w:szCs w:val="17"/>
          <w:lang w:val="en-IN"/>
        </w:rPr>
        <w:t xml:space="preserve">Accuracy and responses of genomic selection on key traits in apple breeding. </w:t>
      </w:r>
      <w:r w:rsidRPr="002F7029">
        <w:rPr>
          <w:rFonts w:ascii="Times New Roman" w:eastAsia="Times New Roman" w:hAnsi="Times New Roman" w:cs="Times New Roman"/>
          <w:bCs/>
          <w:i/>
          <w:iCs/>
          <w:color w:val="000000" w:themeColor="text1"/>
          <w:sz w:val="17"/>
          <w:szCs w:val="17"/>
          <w:lang w:val="en-IN"/>
        </w:rPr>
        <w:t>Horticulture Research</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w:t>
      </w:r>
      <w:r w:rsidRPr="002F7029">
        <w:rPr>
          <w:rFonts w:ascii="Times New Roman" w:eastAsia="Times New Roman" w:hAnsi="Times New Roman" w:cs="Times New Roman"/>
          <w:bCs/>
          <w:color w:val="000000" w:themeColor="text1"/>
          <w:sz w:val="17"/>
          <w:szCs w:val="17"/>
          <w:lang w:val="en-IN"/>
        </w:rPr>
        <w:t xml:space="preserve">(1), Article 15060. </w:t>
      </w:r>
      <w:hyperlink r:id="rId128">
        <w:r w:rsidRPr="002F7029">
          <w:rPr>
            <w:rStyle w:val="Hyperlink"/>
            <w:rFonts w:ascii="Times New Roman" w:eastAsia="Times New Roman" w:hAnsi="Times New Roman" w:cs="Times New Roman"/>
            <w:bCs/>
            <w:color w:val="000000" w:themeColor="text1"/>
            <w:sz w:val="17"/>
            <w:szCs w:val="17"/>
            <w:u w:val="none"/>
            <w:lang w:val="en-IN"/>
          </w:rPr>
          <w:t>https://doi.org/10.1038/hortres.2015.60</w:t>
        </w:r>
      </w:hyperlink>
    </w:p>
    <w:p w14:paraId="3B32505F"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Navarro, J. M., </w:t>
      </w:r>
      <w:proofErr w:type="spellStart"/>
      <w:r w:rsidRPr="002F7029">
        <w:rPr>
          <w:rFonts w:ascii="Times New Roman" w:eastAsia="Times New Roman" w:hAnsi="Times New Roman" w:cs="Times New Roman"/>
          <w:bCs/>
          <w:color w:val="000000" w:themeColor="text1"/>
          <w:sz w:val="17"/>
          <w:szCs w:val="17"/>
          <w:lang w:val="en-IN"/>
        </w:rPr>
        <w:t>Antolinos</w:t>
      </w:r>
      <w:proofErr w:type="spellEnd"/>
      <w:r w:rsidRPr="002F7029">
        <w:rPr>
          <w:rFonts w:ascii="Times New Roman" w:eastAsia="Times New Roman" w:hAnsi="Times New Roman" w:cs="Times New Roman"/>
          <w:bCs/>
          <w:color w:val="000000" w:themeColor="text1"/>
          <w:sz w:val="17"/>
          <w:szCs w:val="17"/>
          <w:lang w:val="en-IN"/>
        </w:rPr>
        <w:t xml:space="preserve">, V., Robles, J. M., &amp; </w:t>
      </w:r>
      <w:proofErr w:type="spellStart"/>
      <w:r w:rsidRPr="002F7029">
        <w:rPr>
          <w:rFonts w:ascii="Times New Roman" w:eastAsia="Times New Roman" w:hAnsi="Times New Roman" w:cs="Times New Roman"/>
          <w:bCs/>
          <w:color w:val="000000" w:themeColor="text1"/>
          <w:sz w:val="17"/>
          <w:szCs w:val="17"/>
          <w:lang w:val="en-IN"/>
        </w:rPr>
        <w:t>Botía</w:t>
      </w:r>
      <w:proofErr w:type="spellEnd"/>
      <w:r w:rsidRPr="002F7029">
        <w:rPr>
          <w:rFonts w:ascii="Times New Roman" w:eastAsia="Times New Roman" w:hAnsi="Times New Roman" w:cs="Times New Roman"/>
          <w:bCs/>
          <w:color w:val="000000" w:themeColor="text1"/>
          <w:sz w:val="17"/>
          <w:szCs w:val="17"/>
          <w:lang w:val="en-IN"/>
        </w:rPr>
        <w:t xml:space="preserve">, P. (2022). Citrus irrigation with desalinated seawater under a climate change scenario. </w:t>
      </w:r>
      <w:r w:rsidRPr="002F7029">
        <w:rPr>
          <w:rFonts w:ascii="Times New Roman" w:eastAsia="Times New Roman" w:hAnsi="Times New Roman" w:cs="Times New Roman"/>
          <w:bCs/>
          <w:i/>
          <w:iCs/>
          <w:color w:val="000000" w:themeColor="text1"/>
          <w:sz w:val="17"/>
          <w:szCs w:val="17"/>
          <w:lang w:val="en-IN"/>
        </w:rPr>
        <w:t>Frontiers in Plant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13</w:t>
      </w:r>
      <w:r w:rsidRPr="002F7029">
        <w:rPr>
          <w:rFonts w:ascii="Times New Roman" w:eastAsia="Times New Roman" w:hAnsi="Times New Roman" w:cs="Times New Roman"/>
          <w:bCs/>
          <w:color w:val="000000" w:themeColor="text1"/>
          <w:sz w:val="17"/>
          <w:szCs w:val="17"/>
          <w:lang w:val="en-IN"/>
        </w:rPr>
        <w:t xml:space="preserve">, Article 909083. </w:t>
      </w:r>
      <w:hyperlink r:id="rId129">
        <w:r w:rsidRPr="002F7029">
          <w:rPr>
            <w:rStyle w:val="Hyperlink"/>
            <w:rFonts w:ascii="Times New Roman" w:eastAsia="Times New Roman" w:hAnsi="Times New Roman" w:cs="Times New Roman"/>
            <w:bCs/>
            <w:color w:val="000000" w:themeColor="text1"/>
            <w:sz w:val="17"/>
            <w:szCs w:val="17"/>
            <w:u w:val="none"/>
            <w:lang w:val="en-IN"/>
          </w:rPr>
          <w:t>https://doi.org/10.3389/fpls.2022.909083</w:t>
        </w:r>
      </w:hyperlink>
    </w:p>
    <w:p w14:paraId="14421977"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Nicolás, E., Alarcón, J., Mounzer, O., Pedrero, F., </w:t>
      </w:r>
      <w:proofErr w:type="spellStart"/>
      <w:r w:rsidRPr="002F7029">
        <w:rPr>
          <w:rFonts w:ascii="Times New Roman" w:eastAsia="Times New Roman" w:hAnsi="Times New Roman" w:cs="Times New Roman"/>
          <w:bCs/>
          <w:color w:val="000000" w:themeColor="text1"/>
          <w:sz w:val="17"/>
          <w:szCs w:val="17"/>
          <w:lang w:val="en-IN"/>
        </w:rPr>
        <w:t>Nortes</w:t>
      </w:r>
      <w:proofErr w:type="spellEnd"/>
      <w:r w:rsidRPr="002F7029">
        <w:rPr>
          <w:rFonts w:ascii="Times New Roman" w:eastAsia="Times New Roman" w:hAnsi="Times New Roman" w:cs="Times New Roman"/>
          <w:bCs/>
          <w:color w:val="000000" w:themeColor="text1"/>
          <w:sz w:val="17"/>
          <w:szCs w:val="17"/>
          <w:lang w:val="en-IN"/>
        </w:rPr>
        <w:t xml:space="preserve">, P., Alcobendas, R., Romero-Trigueros, C., Bayona, J., &amp; Maestre-Valero, J. (2016). Long-term physiological and agronomic responses of mandarin trees to irrigation with saline reclaimed water. </w:t>
      </w:r>
      <w:r w:rsidRPr="002F7029">
        <w:rPr>
          <w:rFonts w:ascii="Times New Roman" w:eastAsia="Times New Roman" w:hAnsi="Times New Roman" w:cs="Times New Roman"/>
          <w:bCs/>
          <w:i/>
          <w:iCs/>
          <w:color w:val="000000" w:themeColor="text1"/>
          <w:sz w:val="17"/>
          <w:szCs w:val="17"/>
          <w:lang w:val="en-IN"/>
        </w:rPr>
        <w:t>Agricultural Water Management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166</w:t>
      </w:r>
      <w:r w:rsidRPr="002F7029">
        <w:rPr>
          <w:rFonts w:ascii="Times New Roman" w:eastAsia="Times New Roman" w:hAnsi="Times New Roman" w:cs="Times New Roman"/>
          <w:bCs/>
          <w:color w:val="000000" w:themeColor="text1"/>
          <w:sz w:val="17"/>
          <w:szCs w:val="17"/>
          <w:lang w:val="en-IN"/>
        </w:rPr>
        <w:t xml:space="preserve">, 1–8. </w:t>
      </w:r>
      <w:hyperlink r:id="rId130">
        <w:r w:rsidRPr="002F7029">
          <w:rPr>
            <w:rStyle w:val="Hyperlink"/>
            <w:rFonts w:ascii="Times New Roman" w:eastAsia="Times New Roman" w:hAnsi="Times New Roman" w:cs="Times New Roman"/>
            <w:bCs/>
            <w:color w:val="000000" w:themeColor="text1"/>
            <w:sz w:val="17"/>
            <w:szCs w:val="17"/>
            <w:u w:val="none"/>
            <w:lang w:val="en-IN"/>
          </w:rPr>
          <w:t>https://doi.org/10.1016/j.agwat.2015.11.017</w:t>
        </w:r>
      </w:hyperlink>
    </w:p>
    <w:p w14:paraId="46D7B29C"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Novara, A., Cerda, A., Barone, E., &amp; Gristina, L. (2021). Cover crop management and water conservation in vineyard and olive orchards. </w:t>
      </w:r>
      <w:r w:rsidRPr="002F7029">
        <w:rPr>
          <w:rFonts w:ascii="Times New Roman" w:eastAsia="Times New Roman" w:hAnsi="Times New Roman" w:cs="Times New Roman"/>
          <w:bCs/>
          <w:i/>
          <w:iCs/>
          <w:color w:val="000000" w:themeColor="text1"/>
          <w:sz w:val="17"/>
          <w:szCs w:val="17"/>
          <w:lang w:val="en-IN"/>
        </w:rPr>
        <w:t>Soil and Tillage Research</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208</w:t>
      </w:r>
      <w:r w:rsidRPr="002F7029">
        <w:rPr>
          <w:rFonts w:ascii="Times New Roman" w:eastAsia="Times New Roman" w:hAnsi="Times New Roman" w:cs="Times New Roman"/>
          <w:bCs/>
          <w:color w:val="000000" w:themeColor="text1"/>
          <w:sz w:val="17"/>
          <w:szCs w:val="17"/>
          <w:lang w:val="en-IN"/>
        </w:rPr>
        <w:t xml:space="preserve">, Article 104896. </w:t>
      </w:r>
      <w:hyperlink r:id="rId131">
        <w:r w:rsidRPr="002F7029">
          <w:rPr>
            <w:rStyle w:val="Hyperlink"/>
            <w:rFonts w:ascii="Times New Roman" w:eastAsia="Times New Roman" w:hAnsi="Times New Roman" w:cs="Times New Roman"/>
            <w:bCs/>
            <w:color w:val="000000" w:themeColor="text1"/>
            <w:sz w:val="17"/>
            <w:szCs w:val="17"/>
            <w:u w:val="none"/>
            <w:lang w:val="en-IN"/>
          </w:rPr>
          <w:t>https://doi.org/10.1016/j.still.2020.104896</w:t>
        </w:r>
      </w:hyperlink>
    </w:p>
    <w:p w14:paraId="5BEBF658"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Opazo</w:t>
      </w:r>
      <w:proofErr w:type="spellEnd"/>
      <w:r w:rsidRPr="002F7029">
        <w:rPr>
          <w:rFonts w:ascii="Times New Roman" w:eastAsia="Times New Roman" w:hAnsi="Times New Roman" w:cs="Times New Roman"/>
          <w:bCs/>
          <w:color w:val="000000" w:themeColor="text1"/>
          <w:sz w:val="17"/>
          <w:szCs w:val="17"/>
          <w:lang w:val="en-IN"/>
        </w:rPr>
        <w:t xml:space="preserve">, I., Toro, G., Salvatierra, A., Pastenes, C., &amp; Pimentel, P. (2020). Rootstocks modulate the physiology and growth responses to water deficit and long-term recovery in grafted stone fruit trees. </w:t>
      </w:r>
      <w:r w:rsidRPr="002F7029">
        <w:rPr>
          <w:rFonts w:ascii="Times New Roman" w:eastAsia="Times New Roman" w:hAnsi="Times New Roman" w:cs="Times New Roman"/>
          <w:bCs/>
          <w:i/>
          <w:iCs/>
          <w:color w:val="000000" w:themeColor="text1"/>
          <w:sz w:val="17"/>
          <w:szCs w:val="17"/>
          <w:lang w:val="en-IN"/>
        </w:rPr>
        <w:t>Agricultural Water Management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228</w:t>
      </w:r>
      <w:r w:rsidRPr="002F7029">
        <w:rPr>
          <w:rFonts w:ascii="Times New Roman" w:eastAsia="Times New Roman" w:hAnsi="Times New Roman" w:cs="Times New Roman"/>
          <w:bCs/>
          <w:color w:val="000000" w:themeColor="text1"/>
          <w:sz w:val="17"/>
          <w:szCs w:val="17"/>
          <w:lang w:val="en-IN"/>
        </w:rPr>
        <w:t xml:space="preserve">, Article 105897. </w:t>
      </w:r>
      <w:hyperlink r:id="rId132">
        <w:r w:rsidRPr="002F7029">
          <w:rPr>
            <w:rStyle w:val="Hyperlink"/>
            <w:rFonts w:ascii="Times New Roman" w:eastAsia="Times New Roman" w:hAnsi="Times New Roman" w:cs="Times New Roman"/>
            <w:bCs/>
            <w:color w:val="000000" w:themeColor="text1"/>
            <w:sz w:val="17"/>
            <w:szCs w:val="17"/>
            <w:u w:val="none"/>
            <w:lang w:val="en-IN"/>
          </w:rPr>
          <w:t>https://doi.org/10.1016/j.agwat.2019.105897</w:t>
        </w:r>
      </w:hyperlink>
    </w:p>
    <w:p w14:paraId="0656687C"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Osorio-Marín, J., Fernandez, E., </w:t>
      </w:r>
      <w:proofErr w:type="spellStart"/>
      <w:r w:rsidRPr="002F7029">
        <w:rPr>
          <w:rFonts w:ascii="Times New Roman" w:eastAsia="Times New Roman" w:hAnsi="Times New Roman" w:cs="Times New Roman"/>
          <w:bCs/>
          <w:color w:val="000000" w:themeColor="text1"/>
          <w:sz w:val="17"/>
          <w:szCs w:val="17"/>
          <w:lang w:val="en-IN"/>
        </w:rPr>
        <w:t>Vieli</w:t>
      </w:r>
      <w:proofErr w:type="spellEnd"/>
      <w:r w:rsidRPr="002F7029">
        <w:rPr>
          <w:rFonts w:ascii="Times New Roman" w:eastAsia="Times New Roman" w:hAnsi="Times New Roman" w:cs="Times New Roman"/>
          <w:bCs/>
          <w:color w:val="000000" w:themeColor="text1"/>
          <w:sz w:val="17"/>
          <w:szCs w:val="17"/>
          <w:lang w:val="en-IN"/>
        </w:rPr>
        <w:t xml:space="preserve">, L., Ribera, A., </w:t>
      </w:r>
      <w:proofErr w:type="spellStart"/>
      <w:r w:rsidRPr="002F7029">
        <w:rPr>
          <w:rFonts w:ascii="Times New Roman" w:eastAsia="Times New Roman" w:hAnsi="Times New Roman" w:cs="Times New Roman"/>
          <w:bCs/>
          <w:color w:val="000000" w:themeColor="text1"/>
          <w:sz w:val="17"/>
          <w:szCs w:val="17"/>
          <w:lang w:val="en-IN"/>
        </w:rPr>
        <w:t>Luedeling</w:t>
      </w:r>
      <w:proofErr w:type="spellEnd"/>
      <w:r w:rsidRPr="002F7029">
        <w:rPr>
          <w:rFonts w:ascii="Times New Roman" w:eastAsia="Times New Roman" w:hAnsi="Times New Roman" w:cs="Times New Roman"/>
          <w:bCs/>
          <w:color w:val="000000" w:themeColor="text1"/>
          <w:sz w:val="17"/>
          <w:szCs w:val="17"/>
          <w:lang w:val="en-IN"/>
        </w:rPr>
        <w:t xml:space="preserve">, E., &amp; Cobo, N. (2024). Climate change impacts on temperate fruit and nut production: A systematic review. </w:t>
      </w:r>
      <w:r w:rsidRPr="002F7029">
        <w:rPr>
          <w:rFonts w:ascii="Times New Roman" w:eastAsia="Times New Roman" w:hAnsi="Times New Roman" w:cs="Times New Roman"/>
          <w:bCs/>
          <w:i/>
          <w:iCs/>
          <w:color w:val="000000" w:themeColor="text1"/>
          <w:sz w:val="17"/>
          <w:szCs w:val="17"/>
          <w:lang w:val="en-IN"/>
        </w:rPr>
        <w:t>Frontiers in Plant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15</w:t>
      </w:r>
      <w:r w:rsidRPr="002F7029">
        <w:rPr>
          <w:rFonts w:ascii="Times New Roman" w:eastAsia="Times New Roman" w:hAnsi="Times New Roman" w:cs="Times New Roman"/>
          <w:bCs/>
          <w:color w:val="000000" w:themeColor="text1"/>
          <w:sz w:val="17"/>
          <w:szCs w:val="17"/>
          <w:lang w:val="en-IN"/>
        </w:rPr>
        <w:t xml:space="preserve">, Article 1352169. </w:t>
      </w:r>
      <w:hyperlink r:id="rId133">
        <w:r w:rsidRPr="002F7029">
          <w:rPr>
            <w:rStyle w:val="Hyperlink"/>
            <w:rFonts w:ascii="Times New Roman" w:eastAsia="Times New Roman" w:hAnsi="Times New Roman" w:cs="Times New Roman"/>
            <w:bCs/>
            <w:color w:val="000000" w:themeColor="text1"/>
            <w:sz w:val="17"/>
            <w:szCs w:val="17"/>
            <w:u w:val="none"/>
            <w:lang w:val="en-IN"/>
          </w:rPr>
          <w:t>https://doi.org/10.3389/fpls.2024.1352169</w:t>
        </w:r>
      </w:hyperlink>
    </w:p>
    <w:p w14:paraId="3BF320B5"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Pfleiderer, P., Menke, I., &amp; </w:t>
      </w:r>
      <w:proofErr w:type="spellStart"/>
      <w:r w:rsidRPr="002F7029">
        <w:rPr>
          <w:rFonts w:ascii="Times New Roman" w:eastAsia="Times New Roman" w:hAnsi="Times New Roman" w:cs="Times New Roman"/>
          <w:bCs/>
          <w:color w:val="000000" w:themeColor="text1"/>
          <w:sz w:val="17"/>
          <w:szCs w:val="17"/>
          <w:lang w:val="en-IN"/>
        </w:rPr>
        <w:t>Schleussner</w:t>
      </w:r>
      <w:proofErr w:type="spellEnd"/>
      <w:r w:rsidRPr="002F7029">
        <w:rPr>
          <w:rFonts w:ascii="Times New Roman" w:eastAsia="Times New Roman" w:hAnsi="Times New Roman" w:cs="Times New Roman"/>
          <w:bCs/>
          <w:color w:val="000000" w:themeColor="text1"/>
          <w:sz w:val="17"/>
          <w:szCs w:val="17"/>
          <w:lang w:val="en-IN"/>
        </w:rPr>
        <w:t xml:space="preserve">, C.-F. (2019). Increasing risks of apple tree frost damage under climate change. </w:t>
      </w:r>
      <w:r w:rsidRPr="002F7029">
        <w:rPr>
          <w:rFonts w:ascii="Times New Roman" w:eastAsia="Times New Roman" w:hAnsi="Times New Roman" w:cs="Times New Roman"/>
          <w:bCs/>
          <w:i/>
          <w:iCs/>
          <w:color w:val="000000" w:themeColor="text1"/>
          <w:sz w:val="17"/>
          <w:szCs w:val="17"/>
          <w:lang w:val="en-IN"/>
        </w:rPr>
        <w:t>Climatic Change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157</w:t>
      </w:r>
      <w:r w:rsidRPr="002F7029">
        <w:rPr>
          <w:rFonts w:ascii="Times New Roman" w:eastAsia="Times New Roman" w:hAnsi="Times New Roman" w:cs="Times New Roman"/>
          <w:bCs/>
          <w:color w:val="000000" w:themeColor="text1"/>
          <w:sz w:val="17"/>
          <w:szCs w:val="17"/>
          <w:lang w:val="en-IN"/>
        </w:rPr>
        <w:t xml:space="preserve">(3–4), 515–525. </w:t>
      </w:r>
      <w:hyperlink r:id="rId134">
        <w:r w:rsidRPr="002F7029">
          <w:rPr>
            <w:rStyle w:val="Hyperlink"/>
            <w:rFonts w:ascii="Times New Roman" w:eastAsia="Times New Roman" w:hAnsi="Times New Roman" w:cs="Times New Roman"/>
            <w:bCs/>
            <w:color w:val="000000" w:themeColor="text1"/>
            <w:sz w:val="17"/>
            <w:szCs w:val="17"/>
            <w:u w:val="none"/>
            <w:lang w:val="en-IN"/>
          </w:rPr>
          <w:t>https://doi.org/10.1007/s10584-019-02570-y</w:t>
        </w:r>
      </w:hyperlink>
    </w:p>
    <w:p w14:paraId="793A9A6A"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Pino, S., Palma, M., Sepúlveda, Á., Sánchez-Contreras, J., Moya, M., &amp; Yuri, J. A. (2023). Effect of rain cover on tree physiology and fruit condition and quality of ‘Rainier’, ‘Bing’ and ‘Sweetheart’ sweet cherry trees. </w:t>
      </w:r>
      <w:proofErr w:type="spellStart"/>
      <w:r w:rsidRPr="002F7029">
        <w:rPr>
          <w:rFonts w:ascii="Times New Roman" w:eastAsia="Times New Roman" w:hAnsi="Times New Roman" w:cs="Times New Roman"/>
          <w:bCs/>
          <w:i/>
          <w:iCs/>
          <w:color w:val="000000" w:themeColor="text1"/>
          <w:sz w:val="17"/>
          <w:szCs w:val="17"/>
          <w:lang w:val="en-IN"/>
        </w:rPr>
        <w:t>Horticulturae</w:t>
      </w:r>
      <w:proofErr w:type="spellEnd"/>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9</w:t>
      </w:r>
      <w:r w:rsidRPr="002F7029">
        <w:rPr>
          <w:rFonts w:ascii="Times New Roman" w:eastAsia="Times New Roman" w:hAnsi="Times New Roman" w:cs="Times New Roman"/>
          <w:bCs/>
          <w:color w:val="000000" w:themeColor="text1"/>
          <w:sz w:val="17"/>
          <w:szCs w:val="17"/>
          <w:lang w:val="en-IN"/>
        </w:rPr>
        <w:t xml:space="preserve">(1), Article 109. </w:t>
      </w:r>
      <w:hyperlink r:id="rId135">
        <w:r w:rsidRPr="002F7029">
          <w:rPr>
            <w:rStyle w:val="Hyperlink"/>
            <w:rFonts w:ascii="Times New Roman" w:eastAsia="Times New Roman" w:hAnsi="Times New Roman" w:cs="Times New Roman"/>
            <w:bCs/>
            <w:color w:val="000000" w:themeColor="text1"/>
            <w:sz w:val="17"/>
            <w:szCs w:val="17"/>
            <w:u w:val="none"/>
            <w:lang w:val="en-IN"/>
          </w:rPr>
          <w:t>https://doi.org/10.3390/horticulturae9010109</w:t>
        </w:r>
      </w:hyperlink>
    </w:p>
    <w:p w14:paraId="5842CC78"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Poling, E. B. (2008). Spring cold injury to winegrapes and protection strategies and methods. </w:t>
      </w:r>
      <w:proofErr w:type="spellStart"/>
      <w:r w:rsidRPr="002F7029">
        <w:rPr>
          <w:rFonts w:ascii="Times New Roman" w:eastAsia="Times New Roman" w:hAnsi="Times New Roman" w:cs="Times New Roman"/>
          <w:bCs/>
          <w:i/>
          <w:iCs/>
          <w:color w:val="000000" w:themeColor="text1"/>
          <w:sz w:val="17"/>
          <w:szCs w:val="17"/>
          <w:lang w:val="en-IN"/>
        </w:rPr>
        <w:t>HortScience</w:t>
      </w:r>
      <w:proofErr w:type="spellEnd"/>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43</w:t>
      </w:r>
      <w:r w:rsidRPr="002F7029">
        <w:rPr>
          <w:rFonts w:ascii="Times New Roman" w:eastAsia="Times New Roman" w:hAnsi="Times New Roman" w:cs="Times New Roman"/>
          <w:bCs/>
          <w:color w:val="000000" w:themeColor="text1"/>
          <w:sz w:val="17"/>
          <w:szCs w:val="17"/>
          <w:lang w:val="en-IN"/>
        </w:rPr>
        <w:t xml:space="preserve">(6), 1652–1662. </w:t>
      </w:r>
      <w:hyperlink r:id="rId136">
        <w:r w:rsidRPr="002F7029">
          <w:rPr>
            <w:rStyle w:val="Hyperlink"/>
            <w:rFonts w:ascii="Times New Roman" w:eastAsia="Times New Roman" w:hAnsi="Times New Roman" w:cs="Times New Roman"/>
            <w:bCs/>
            <w:color w:val="000000" w:themeColor="text1"/>
            <w:sz w:val="17"/>
            <w:szCs w:val="17"/>
            <w:u w:val="none"/>
            <w:lang w:val="en-IN"/>
          </w:rPr>
          <w:t>https://doi.org/10.21273/hortsci.43.6.1652</w:t>
        </w:r>
      </w:hyperlink>
    </w:p>
    <w:p w14:paraId="15AAEA18"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Preston, S., Rajagopalan, K., </w:t>
      </w:r>
      <w:proofErr w:type="spellStart"/>
      <w:r w:rsidRPr="002F7029">
        <w:rPr>
          <w:rFonts w:ascii="Times New Roman" w:eastAsia="Times New Roman" w:hAnsi="Times New Roman" w:cs="Times New Roman"/>
          <w:bCs/>
          <w:color w:val="000000" w:themeColor="text1"/>
          <w:sz w:val="17"/>
          <w:szCs w:val="17"/>
          <w:lang w:val="en-IN"/>
        </w:rPr>
        <w:t>Yourek</w:t>
      </w:r>
      <w:proofErr w:type="spellEnd"/>
      <w:r w:rsidRPr="002F7029">
        <w:rPr>
          <w:rFonts w:ascii="Times New Roman" w:eastAsia="Times New Roman" w:hAnsi="Times New Roman" w:cs="Times New Roman"/>
          <w:bCs/>
          <w:color w:val="000000" w:themeColor="text1"/>
          <w:sz w:val="17"/>
          <w:szCs w:val="17"/>
          <w:lang w:val="en-IN"/>
        </w:rPr>
        <w:t xml:space="preserve">, M., </w:t>
      </w:r>
      <w:proofErr w:type="spellStart"/>
      <w:r w:rsidRPr="002F7029">
        <w:rPr>
          <w:rFonts w:ascii="Times New Roman" w:eastAsia="Times New Roman" w:hAnsi="Times New Roman" w:cs="Times New Roman"/>
          <w:bCs/>
          <w:color w:val="000000" w:themeColor="text1"/>
          <w:sz w:val="17"/>
          <w:szCs w:val="17"/>
          <w:lang w:val="en-IN"/>
        </w:rPr>
        <w:t>Kalcsits</w:t>
      </w:r>
      <w:proofErr w:type="spellEnd"/>
      <w:r w:rsidRPr="002F7029">
        <w:rPr>
          <w:rFonts w:ascii="Times New Roman" w:eastAsia="Times New Roman" w:hAnsi="Times New Roman" w:cs="Times New Roman"/>
          <w:bCs/>
          <w:color w:val="000000" w:themeColor="text1"/>
          <w:sz w:val="17"/>
          <w:szCs w:val="17"/>
          <w:lang w:val="en-IN"/>
        </w:rPr>
        <w:t xml:space="preserve">, L., &amp; Singh, D. (2024). Changing climate risks for high-value tree fruit production across the United States. </w:t>
      </w:r>
      <w:r w:rsidRPr="002F7029">
        <w:rPr>
          <w:rFonts w:ascii="Times New Roman" w:eastAsia="Times New Roman" w:hAnsi="Times New Roman" w:cs="Times New Roman"/>
          <w:bCs/>
          <w:i/>
          <w:color w:val="000000" w:themeColor="text1"/>
          <w:sz w:val="17"/>
          <w:szCs w:val="17"/>
          <w:lang w:val="en-IN"/>
        </w:rPr>
        <w:t>Environmental Research Letters, 19</w:t>
      </w:r>
      <w:r w:rsidRPr="002F7029">
        <w:rPr>
          <w:rFonts w:ascii="Times New Roman" w:eastAsia="Times New Roman" w:hAnsi="Times New Roman" w:cs="Times New Roman"/>
          <w:bCs/>
          <w:color w:val="000000" w:themeColor="text1"/>
          <w:sz w:val="17"/>
          <w:szCs w:val="17"/>
          <w:lang w:val="en-IN"/>
        </w:rPr>
        <w:t xml:space="preserve">(12), Article 124092. </w:t>
      </w:r>
      <w:hyperlink r:id="rId137">
        <w:r w:rsidRPr="002F7029">
          <w:rPr>
            <w:rStyle w:val="Hyperlink"/>
            <w:rFonts w:ascii="Times New Roman" w:eastAsia="Times New Roman" w:hAnsi="Times New Roman" w:cs="Times New Roman"/>
            <w:bCs/>
            <w:color w:val="000000" w:themeColor="text1"/>
            <w:sz w:val="17"/>
            <w:szCs w:val="17"/>
            <w:u w:val="none"/>
            <w:lang w:val="en-IN"/>
          </w:rPr>
          <w:t>https://doi.org/10.1088/1748-9326/ad90f4</w:t>
        </w:r>
      </w:hyperlink>
    </w:p>
    <w:p w14:paraId="58E34DAB"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Racsko</w:t>
      </w:r>
      <w:proofErr w:type="spellEnd"/>
      <w:r w:rsidRPr="002F7029">
        <w:rPr>
          <w:rFonts w:ascii="Times New Roman" w:eastAsia="Times New Roman" w:hAnsi="Times New Roman" w:cs="Times New Roman"/>
          <w:bCs/>
          <w:color w:val="000000" w:themeColor="text1"/>
          <w:sz w:val="17"/>
          <w:szCs w:val="17"/>
          <w:lang w:val="en-IN"/>
        </w:rPr>
        <w:t xml:space="preserve">, J., &amp; Schrader, L. E. (2012). Sunburn of apple fruit: Historical background, recent advances and future perspectives. </w:t>
      </w:r>
      <w:r w:rsidRPr="002F7029">
        <w:rPr>
          <w:rFonts w:ascii="Times New Roman" w:eastAsia="Times New Roman" w:hAnsi="Times New Roman" w:cs="Times New Roman"/>
          <w:bCs/>
          <w:i/>
          <w:iCs/>
          <w:color w:val="000000" w:themeColor="text1"/>
          <w:sz w:val="17"/>
          <w:szCs w:val="17"/>
          <w:lang w:val="en-IN"/>
        </w:rPr>
        <w:t>Critical Reviews in Plant Sciences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31</w:t>
      </w:r>
      <w:r w:rsidRPr="002F7029">
        <w:rPr>
          <w:rFonts w:ascii="Times New Roman" w:eastAsia="Times New Roman" w:hAnsi="Times New Roman" w:cs="Times New Roman"/>
          <w:bCs/>
          <w:color w:val="000000" w:themeColor="text1"/>
          <w:sz w:val="17"/>
          <w:szCs w:val="17"/>
          <w:lang w:val="en-IN"/>
        </w:rPr>
        <w:t xml:space="preserve">(6), 455–504. </w:t>
      </w:r>
      <w:hyperlink r:id="rId138">
        <w:r w:rsidRPr="002F7029">
          <w:rPr>
            <w:rStyle w:val="Hyperlink"/>
            <w:rFonts w:ascii="Times New Roman" w:eastAsia="Times New Roman" w:hAnsi="Times New Roman" w:cs="Times New Roman"/>
            <w:bCs/>
            <w:color w:val="000000" w:themeColor="text1"/>
            <w:sz w:val="17"/>
            <w:szCs w:val="17"/>
            <w:u w:val="none"/>
            <w:lang w:val="en-IN"/>
          </w:rPr>
          <w:t>https://doi.org/10.1080/07352689.2012.696453</w:t>
        </w:r>
      </w:hyperlink>
    </w:p>
    <w:p w14:paraId="232786BE"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Rasool, A., Mansoor, S., Bhat, K. M., Hassan, G. I., Baba, T. R., Alyemeni, M. N., Alsahli, A. A., El-</w:t>
      </w:r>
      <w:proofErr w:type="spellStart"/>
      <w:r w:rsidRPr="002F7029">
        <w:rPr>
          <w:rFonts w:ascii="Times New Roman" w:eastAsia="Times New Roman" w:hAnsi="Times New Roman" w:cs="Times New Roman"/>
          <w:bCs/>
          <w:color w:val="000000" w:themeColor="text1"/>
          <w:sz w:val="17"/>
          <w:szCs w:val="17"/>
          <w:lang w:val="en-IN"/>
        </w:rPr>
        <w:t>Serehy</w:t>
      </w:r>
      <w:proofErr w:type="spellEnd"/>
      <w:r w:rsidRPr="002F7029">
        <w:rPr>
          <w:rFonts w:ascii="Times New Roman" w:eastAsia="Times New Roman" w:hAnsi="Times New Roman" w:cs="Times New Roman"/>
          <w:bCs/>
          <w:color w:val="000000" w:themeColor="text1"/>
          <w:sz w:val="17"/>
          <w:szCs w:val="17"/>
          <w:lang w:val="en-IN"/>
        </w:rPr>
        <w:t xml:space="preserve">, H. A., Paray, B. A., &amp; Ahmad, P. (2020). Mechanisms underlying graft union formation and rootstock scion interaction in horticultural plants. </w:t>
      </w:r>
      <w:r w:rsidRPr="002F7029">
        <w:rPr>
          <w:rFonts w:ascii="Times New Roman" w:eastAsia="Times New Roman" w:hAnsi="Times New Roman" w:cs="Times New Roman"/>
          <w:bCs/>
          <w:i/>
          <w:iCs/>
          <w:color w:val="000000" w:themeColor="text1"/>
          <w:sz w:val="17"/>
          <w:szCs w:val="17"/>
          <w:lang w:val="en-IN"/>
        </w:rPr>
        <w:t>Frontiers in Plant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11</w:t>
      </w:r>
      <w:r w:rsidRPr="002F7029">
        <w:rPr>
          <w:rFonts w:ascii="Times New Roman" w:eastAsia="Times New Roman" w:hAnsi="Times New Roman" w:cs="Times New Roman"/>
          <w:bCs/>
          <w:color w:val="000000" w:themeColor="text1"/>
          <w:sz w:val="17"/>
          <w:szCs w:val="17"/>
          <w:lang w:val="en-IN"/>
        </w:rPr>
        <w:t xml:space="preserve">, Article 590847. </w:t>
      </w:r>
      <w:hyperlink r:id="rId139">
        <w:r w:rsidRPr="002F7029">
          <w:rPr>
            <w:rStyle w:val="Hyperlink"/>
            <w:rFonts w:ascii="Times New Roman" w:eastAsia="Times New Roman" w:hAnsi="Times New Roman" w:cs="Times New Roman"/>
            <w:bCs/>
            <w:color w:val="000000" w:themeColor="text1"/>
            <w:sz w:val="17"/>
            <w:szCs w:val="17"/>
            <w:u w:val="none"/>
            <w:lang w:val="en-IN"/>
          </w:rPr>
          <w:t>https://doi.org/10.3389/fpls.2020.590847</w:t>
        </w:r>
      </w:hyperlink>
    </w:p>
    <w:p w14:paraId="3E68F6E6"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Rodríguez, A., Pérez-López, D., Centeno, A., &amp; Ruiz-Ramos, M. (2021). Viability of temperate fruit tree varieties in Spain under climate change according to chilling accumulation. </w:t>
      </w:r>
      <w:r w:rsidRPr="002F7029">
        <w:rPr>
          <w:rFonts w:ascii="Times New Roman" w:eastAsia="Times New Roman" w:hAnsi="Times New Roman" w:cs="Times New Roman"/>
          <w:bCs/>
          <w:i/>
          <w:iCs/>
          <w:color w:val="000000" w:themeColor="text1"/>
          <w:sz w:val="17"/>
          <w:szCs w:val="17"/>
          <w:lang w:val="en-IN"/>
        </w:rPr>
        <w:t>Agricultural Systems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186</w:t>
      </w:r>
      <w:r w:rsidRPr="002F7029">
        <w:rPr>
          <w:rFonts w:ascii="Times New Roman" w:eastAsia="Times New Roman" w:hAnsi="Times New Roman" w:cs="Times New Roman"/>
          <w:bCs/>
          <w:color w:val="000000" w:themeColor="text1"/>
          <w:sz w:val="17"/>
          <w:szCs w:val="17"/>
          <w:lang w:val="en-IN"/>
        </w:rPr>
        <w:t xml:space="preserve">, Article 102961. </w:t>
      </w:r>
      <w:hyperlink r:id="rId140">
        <w:r w:rsidRPr="002F7029">
          <w:rPr>
            <w:rStyle w:val="Hyperlink"/>
            <w:rFonts w:ascii="Times New Roman" w:eastAsia="Times New Roman" w:hAnsi="Times New Roman" w:cs="Times New Roman"/>
            <w:bCs/>
            <w:color w:val="000000" w:themeColor="text1"/>
            <w:sz w:val="17"/>
            <w:szCs w:val="17"/>
            <w:u w:val="none"/>
            <w:lang w:val="en-IN"/>
          </w:rPr>
          <w:t>https://doi.org/10.1016/j.agsy.2020.102961</w:t>
        </w:r>
      </w:hyperlink>
    </w:p>
    <w:p w14:paraId="5BD4A128"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Rodríguez, A., Pérez-López, D., Sánchez, E., Centeno, A., </w:t>
      </w:r>
      <w:proofErr w:type="spellStart"/>
      <w:r w:rsidRPr="002F7029">
        <w:rPr>
          <w:rFonts w:ascii="Times New Roman" w:eastAsia="Times New Roman" w:hAnsi="Times New Roman" w:cs="Times New Roman"/>
          <w:bCs/>
          <w:color w:val="000000" w:themeColor="text1"/>
          <w:sz w:val="17"/>
          <w:szCs w:val="17"/>
          <w:lang w:val="en-IN"/>
        </w:rPr>
        <w:t>Gómara</w:t>
      </w:r>
      <w:proofErr w:type="spellEnd"/>
      <w:r w:rsidRPr="002F7029">
        <w:rPr>
          <w:rFonts w:ascii="Times New Roman" w:eastAsia="Times New Roman" w:hAnsi="Times New Roman" w:cs="Times New Roman"/>
          <w:bCs/>
          <w:color w:val="000000" w:themeColor="text1"/>
          <w:sz w:val="17"/>
          <w:szCs w:val="17"/>
          <w:lang w:val="en-IN"/>
        </w:rPr>
        <w:t xml:space="preserve">, I., </w:t>
      </w:r>
      <w:proofErr w:type="spellStart"/>
      <w:r w:rsidRPr="002F7029">
        <w:rPr>
          <w:rFonts w:ascii="Times New Roman" w:eastAsia="Times New Roman" w:hAnsi="Times New Roman" w:cs="Times New Roman"/>
          <w:bCs/>
          <w:color w:val="000000" w:themeColor="text1"/>
          <w:sz w:val="17"/>
          <w:szCs w:val="17"/>
          <w:lang w:val="en-IN"/>
        </w:rPr>
        <w:t>Dosio</w:t>
      </w:r>
      <w:proofErr w:type="spellEnd"/>
      <w:r w:rsidRPr="002F7029">
        <w:rPr>
          <w:rFonts w:ascii="Times New Roman" w:eastAsia="Times New Roman" w:hAnsi="Times New Roman" w:cs="Times New Roman"/>
          <w:bCs/>
          <w:color w:val="000000" w:themeColor="text1"/>
          <w:sz w:val="17"/>
          <w:szCs w:val="17"/>
          <w:lang w:val="en-IN"/>
        </w:rPr>
        <w:t xml:space="preserve">, A., &amp; Ruiz-Ramos, M. (2019). Chilling accumulation in fruit trees in Spain under climate change. </w:t>
      </w:r>
      <w:r w:rsidRPr="002F7029">
        <w:rPr>
          <w:rFonts w:ascii="Times New Roman" w:eastAsia="Times New Roman" w:hAnsi="Times New Roman" w:cs="Times New Roman"/>
          <w:bCs/>
          <w:i/>
          <w:iCs/>
          <w:color w:val="000000" w:themeColor="text1"/>
          <w:sz w:val="17"/>
          <w:szCs w:val="17"/>
          <w:lang w:val="en-IN"/>
        </w:rPr>
        <w:t>Natural Hazards and Earth System Sciences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19</w:t>
      </w:r>
      <w:r w:rsidRPr="002F7029">
        <w:rPr>
          <w:rFonts w:ascii="Times New Roman" w:eastAsia="Times New Roman" w:hAnsi="Times New Roman" w:cs="Times New Roman"/>
          <w:bCs/>
          <w:color w:val="000000" w:themeColor="text1"/>
          <w:sz w:val="17"/>
          <w:szCs w:val="17"/>
          <w:lang w:val="en-IN"/>
        </w:rPr>
        <w:t xml:space="preserve">(5), 1087–1103. </w:t>
      </w:r>
      <w:hyperlink r:id="rId141">
        <w:r w:rsidRPr="002F7029">
          <w:rPr>
            <w:rStyle w:val="Hyperlink"/>
            <w:rFonts w:ascii="Times New Roman" w:eastAsia="Times New Roman" w:hAnsi="Times New Roman" w:cs="Times New Roman"/>
            <w:bCs/>
            <w:color w:val="000000" w:themeColor="text1"/>
            <w:sz w:val="17"/>
            <w:szCs w:val="17"/>
            <w:u w:val="none"/>
            <w:lang w:val="en-IN"/>
          </w:rPr>
          <w:t>https://doi.org/10.5194/nhess-19-1087-2019</w:t>
        </w:r>
      </w:hyperlink>
    </w:p>
    <w:p w14:paraId="07375FF0"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lastRenderedPageBreak/>
        <w:t xml:space="preserve">Romero, P., Navarro Acosta, J. M., Pérez-Pérez, J. G., Dodd, I. C., </w:t>
      </w:r>
      <w:proofErr w:type="spellStart"/>
      <w:r w:rsidRPr="002F7029">
        <w:rPr>
          <w:rFonts w:ascii="Times New Roman" w:eastAsia="Times New Roman" w:hAnsi="Times New Roman" w:cs="Times New Roman"/>
          <w:bCs/>
          <w:color w:val="000000" w:themeColor="text1"/>
          <w:sz w:val="17"/>
          <w:szCs w:val="17"/>
          <w:lang w:val="en-IN"/>
        </w:rPr>
        <w:t>Antolinos</w:t>
      </w:r>
      <w:proofErr w:type="spellEnd"/>
      <w:r w:rsidRPr="002F7029">
        <w:rPr>
          <w:rFonts w:ascii="Times New Roman" w:eastAsia="Times New Roman" w:hAnsi="Times New Roman" w:cs="Times New Roman"/>
          <w:bCs/>
          <w:color w:val="000000" w:themeColor="text1"/>
          <w:sz w:val="17"/>
          <w:szCs w:val="17"/>
          <w:lang w:val="en-IN"/>
        </w:rPr>
        <w:t xml:space="preserve">, V., López Marín, J., del Amor Saavedra, F., </w:t>
      </w:r>
      <w:proofErr w:type="spellStart"/>
      <w:r w:rsidRPr="002F7029">
        <w:rPr>
          <w:rFonts w:ascii="Times New Roman" w:eastAsia="Times New Roman" w:hAnsi="Times New Roman" w:cs="Times New Roman"/>
          <w:bCs/>
          <w:color w:val="000000" w:themeColor="text1"/>
          <w:sz w:val="17"/>
          <w:szCs w:val="17"/>
          <w:lang w:val="en-IN"/>
        </w:rPr>
        <w:t>Morote</w:t>
      </w:r>
      <w:proofErr w:type="spellEnd"/>
      <w:r w:rsidRPr="002F7029">
        <w:rPr>
          <w:rFonts w:ascii="Times New Roman" w:eastAsia="Times New Roman" w:hAnsi="Times New Roman" w:cs="Times New Roman"/>
          <w:bCs/>
          <w:color w:val="000000" w:themeColor="text1"/>
          <w:sz w:val="17"/>
          <w:szCs w:val="17"/>
          <w:lang w:val="en-IN"/>
        </w:rPr>
        <w:t xml:space="preserve"> Molina, E., &amp; </w:t>
      </w:r>
      <w:proofErr w:type="spellStart"/>
      <w:r w:rsidRPr="002F7029">
        <w:rPr>
          <w:rFonts w:ascii="Times New Roman" w:eastAsia="Times New Roman" w:hAnsi="Times New Roman" w:cs="Times New Roman"/>
          <w:bCs/>
          <w:color w:val="000000" w:themeColor="text1"/>
          <w:sz w:val="17"/>
          <w:szCs w:val="17"/>
          <w:lang w:val="en-IN"/>
        </w:rPr>
        <w:t>Botía</w:t>
      </w:r>
      <w:proofErr w:type="spellEnd"/>
      <w:r w:rsidRPr="002F7029">
        <w:rPr>
          <w:rFonts w:ascii="Times New Roman" w:eastAsia="Times New Roman" w:hAnsi="Times New Roman" w:cs="Times New Roman"/>
          <w:bCs/>
          <w:color w:val="000000" w:themeColor="text1"/>
          <w:sz w:val="17"/>
          <w:szCs w:val="17"/>
          <w:lang w:val="en-IN"/>
        </w:rPr>
        <w:t xml:space="preserve"> Ordaz, P. (2025). The rootstock imparts different drought tolerance strategies in long-term field-grown deficit irrigated grapevines. </w:t>
      </w:r>
      <w:r w:rsidRPr="002F7029">
        <w:rPr>
          <w:rFonts w:ascii="Times New Roman" w:eastAsia="Times New Roman" w:hAnsi="Times New Roman" w:cs="Times New Roman"/>
          <w:bCs/>
          <w:i/>
          <w:color w:val="000000" w:themeColor="text1"/>
          <w:sz w:val="17"/>
          <w:szCs w:val="17"/>
          <w:lang w:val="en-IN"/>
        </w:rPr>
        <w:t xml:space="preserve">Scientia </w:t>
      </w:r>
      <w:proofErr w:type="spellStart"/>
      <w:r w:rsidRPr="002F7029">
        <w:rPr>
          <w:rFonts w:ascii="Times New Roman" w:eastAsia="Times New Roman" w:hAnsi="Times New Roman" w:cs="Times New Roman"/>
          <w:bCs/>
          <w:i/>
          <w:color w:val="000000" w:themeColor="text1"/>
          <w:sz w:val="17"/>
          <w:szCs w:val="17"/>
          <w:lang w:val="en-IN"/>
        </w:rPr>
        <w:t>Horticulturae</w:t>
      </w:r>
      <w:proofErr w:type="spellEnd"/>
      <w:r w:rsidRPr="002F7029">
        <w:rPr>
          <w:rFonts w:ascii="Times New Roman" w:eastAsia="Times New Roman" w:hAnsi="Times New Roman" w:cs="Times New Roman"/>
          <w:bCs/>
          <w:i/>
          <w:color w:val="000000" w:themeColor="text1"/>
          <w:sz w:val="17"/>
          <w:szCs w:val="17"/>
          <w:lang w:val="en-IN"/>
        </w:rPr>
        <w:t>, 346</w:t>
      </w:r>
      <w:r w:rsidRPr="002F7029">
        <w:rPr>
          <w:rFonts w:ascii="Times New Roman" w:eastAsia="Times New Roman" w:hAnsi="Times New Roman" w:cs="Times New Roman"/>
          <w:bCs/>
          <w:color w:val="000000" w:themeColor="text1"/>
          <w:sz w:val="17"/>
          <w:szCs w:val="17"/>
          <w:lang w:val="en-IN"/>
        </w:rPr>
        <w:t xml:space="preserve">, Article 114167. </w:t>
      </w:r>
      <w:hyperlink r:id="rId142">
        <w:r w:rsidRPr="002F7029">
          <w:rPr>
            <w:rStyle w:val="Hyperlink"/>
            <w:rFonts w:ascii="Times New Roman" w:eastAsia="Times New Roman" w:hAnsi="Times New Roman" w:cs="Times New Roman"/>
            <w:bCs/>
            <w:color w:val="000000" w:themeColor="text1"/>
            <w:sz w:val="17"/>
            <w:szCs w:val="17"/>
            <w:u w:val="none"/>
            <w:lang w:val="en-IN"/>
          </w:rPr>
          <w:t>https://doi.org/10.1016/j.scienta.2025.114167</w:t>
        </w:r>
      </w:hyperlink>
    </w:p>
    <w:p w14:paraId="72683CF2"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Rosati, A., Metcalf, S. G., Buchner, R. P., Fulton, A. E., &amp; Lampinen, B. D. (2006). Physiological effects of kaolin applications in well-irrigated and water-stressed walnut and almond trees. </w:t>
      </w:r>
      <w:r w:rsidRPr="002F7029">
        <w:rPr>
          <w:rFonts w:ascii="Times New Roman" w:eastAsia="Times New Roman" w:hAnsi="Times New Roman" w:cs="Times New Roman"/>
          <w:bCs/>
          <w:i/>
          <w:iCs/>
          <w:color w:val="000000" w:themeColor="text1"/>
          <w:sz w:val="17"/>
          <w:szCs w:val="17"/>
          <w:lang w:val="en-IN"/>
        </w:rPr>
        <w:t>Annals of Botany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98</w:t>
      </w:r>
      <w:r w:rsidRPr="002F7029">
        <w:rPr>
          <w:rFonts w:ascii="Times New Roman" w:eastAsia="Times New Roman" w:hAnsi="Times New Roman" w:cs="Times New Roman"/>
          <w:bCs/>
          <w:color w:val="000000" w:themeColor="text1"/>
          <w:sz w:val="17"/>
          <w:szCs w:val="17"/>
          <w:lang w:val="en-IN"/>
        </w:rPr>
        <w:t xml:space="preserve">(1), 267–275. </w:t>
      </w:r>
      <w:hyperlink r:id="rId143">
        <w:r w:rsidRPr="002F7029">
          <w:rPr>
            <w:rStyle w:val="Hyperlink"/>
            <w:rFonts w:ascii="Times New Roman" w:eastAsia="Times New Roman" w:hAnsi="Times New Roman" w:cs="Times New Roman"/>
            <w:bCs/>
            <w:color w:val="000000" w:themeColor="text1"/>
            <w:sz w:val="17"/>
            <w:szCs w:val="17"/>
            <w:u w:val="none"/>
            <w:lang w:val="en-IN"/>
          </w:rPr>
          <w:t>https://doi.org/10.1093/aob/mcl100</w:t>
        </w:r>
      </w:hyperlink>
    </w:p>
    <w:p w14:paraId="23F70A0D"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Ru, S., Main, D., Evans, K., &amp; Peace, C. (2015). Current applications, challenges, and perspectives of marker-assisted seedling selection in Rosaceae tree fruit breeding. </w:t>
      </w:r>
      <w:r w:rsidRPr="002F7029">
        <w:rPr>
          <w:rFonts w:ascii="Times New Roman" w:eastAsia="Times New Roman" w:hAnsi="Times New Roman" w:cs="Times New Roman"/>
          <w:bCs/>
          <w:i/>
          <w:iCs/>
          <w:color w:val="000000" w:themeColor="text1"/>
          <w:sz w:val="17"/>
          <w:szCs w:val="17"/>
          <w:lang w:val="en-IN"/>
        </w:rPr>
        <w:t>Tree Genetics &amp; Genomes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11</w:t>
      </w:r>
      <w:r w:rsidRPr="002F7029">
        <w:rPr>
          <w:rFonts w:ascii="Times New Roman" w:eastAsia="Times New Roman" w:hAnsi="Times New Roman" w:cs="Times New Roman"/>
          <w:bCs/>
          <w:color w:val="000000" w:themeColor="text1"/>
          <w:sz w:val="17"/>
          <w:szCs w:val="17"/>
          <w:lang w:val="en-IN"/>
        </w:rPr>
        <w:t xml:space="preserve">(1), Article 8. </w:t>
      </w:r>
      <w:hyperlink r:id="rId144">
        <w:r w:rsidRPr="002F7029">
          <w:rPr>
            <w:rStyle w:val="Hyperlink"/>
            <w:rFonts w:ascii="Times New Roman" w:eastAsia="Times New Roman" w:hAnsi="Times New Roman" w:cs="Times New Roman"/>
            <w:bCs/>
            <w:color w:val="000000" w:themeColor="text1"/>
            <w:sz w:val="17"/>
            <w:szCs w:val="17"/>
            <w:u w:val="none"/>
            <w:lang w:val="en-IN"/>
          </w:rPr>
          <w:t>https://doi.org/10.1007/s11295-015-0834-5</w:t>
        </w:r>
      </w:hyperlink>
    </w:p>
    <w:p w14:paraId="57494B32"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Rufato, L., da Silva, P. S., Kretzschmar, A. A., Bogo, A., de Macedo, T. A., Welter, J. F., Fazio, G., &amp; Petry, D. (2021). Geneva® series rootstocks for apple trees under extreme replanting conditions in Southern Brazil. </w:t>
      </w:r>
      <w:r w:rsidRPr="002F7029">
        <w:rPr>
          <w:rFonts w:ascii="Times New Roman" w:eastAsia="Times New Roman" w:hAnsi="Times New Roman" w:cs="Times New Roman"/>
          <w:bCs/>
          <w:i/>
          <w:iCs/>
          <w:color w:val="000000" w:themeColor="text1"/>
          <w:sz w:val="17"/>
          <w:szCs w:val="17"/>
          <w:lang w:val="en-IN"/>
        </w:rPr>
        <w:t>Frontiers in Plant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12</w:t>
      </w:r>
      <w:r w:rsidRPr="002F7029">
        <w:rPr>
          <w:rFonts w:ascii="Times New Roman" w:eastAsia="Times New Roman" w:hAnsi="Times New Roman" w:cs="Times New Roman"/>
          <w:bCs/>
          <w:color w:val="000000" w:themeColor="text1"/>
          <w:sz w:val="17"/>
          <w:szCs w:val="17"/>
          <w:lang w:val="en-IN"/>
        </w:rPr>
        <w:t xml:space="preserve">, Article 712162. </w:t>
      </w:r>
      <w:hyperlink r:id="rId145">
        <w:r w:rsidRPr="002F7029">
          <w:rPr>
            <w:rStyle w:val="Hyperlink"/>
            <w:rFonts w:ascii="Times New Roman" w:eastAsia="Times New Roman" w:hAnsi="Times New Roman" w:cs="Times New Roman"/>
            <w:bCs/>
            <w:color w:val="000000" w:themeColor="text1"/>
            <w:sz w:val="17"/>
            <w:szCs w:val="17"/>
            <w:u w:val="none"/>
            <w:lang w:val="en-IN"/>
          </w:rPr>
          <w:t>https://doi.org/10.3389/fpls.2021.712162</w:t>
        </w:r>
      </w:hyperlink>
    </w:p>
    <w:p w14:paraId="31D69907"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Ruiz-Sánchez, M. C., Domingo, R., &amp; Castel, J. R. (2010). Review. Deficit irrigation in fruit trees and vines in Spain. </w:t>
      </w:r>
      <w:r w:rsidRPr="002F7029">
        <w:rPr>
          <w:rFonts w:ascii="Times New Roman" w:eastAsia="Times New Roman" w:hAnsi="Times New Roman" w:cs="Times New Roman"/>
          <w:bCs/>
          <w:i/>
          <w:iCs/>
          <w:color w:val="000000" w:themeColor="text1"/>
          <w:sz w:val="17"/>
          <w:szCs w:val="17"/>
          <w:lang w:val="en-IN"/>
        </w:rPr>
        <w:t>Spanish Journal of Agricultural Research</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8</w:t>
      </w:r>
      <w:r w:rsidRPr="002F7029">
        <w:rPr>
          <w:rFonts w:ascii="Times New Roman" w:eastAsia="Times New Roman" w:hAnsi="Times New Roman" w:cs="Times New Roman"/>
          <w:bCs/>
          <w:color w:val="000000" w:themeColor="text1"/>
          <w:sz w:val="17"/>
          <w:szCs w:val="17"/>
          <w:lang w:val="en-IN"/>
        </w:rPr>
        <w:t xml:space="preserve">(S2), S5–S20. </w:t>
      </w:r>
      <w:hyperlink r:id="rId146">
        <w:r w:rsidRPr="002F7029">
          <w:rPr>
            <w:rStyle w:val="Hyperlink"/>
            <w:rFonts w:ascii="Times New Roman" w:eastAsia="Times New Roman" w:hAnsi="Times New Roman" w:cs="Times New Roman"/>
            <w:bCs/>
            <w:color w:val="000000" w:themeColor="text1"/>
            <w:sz w:val="17"/>
            <w:szCs w:val="17"/>
            <w:u w:val="none"/>
            <w:lang w:val="en-IN"/>
          </w:rPr>
          <w:t>https://doi.org/10.5424/sjar/201008s2-1343</w:t>
        </w:r>
      </w:hyperlink>
    </w:p>
    <w:p w14:paraId="10B96F8C"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Sadras</w:t>
      </w:r>
      <w:proofErr w:type="spellEnd"/>
      <w:r w:rsidRPr="002F7029">
        <w:rPr>
          <w:rFonts w:ascii="Times New Roman" w:eastAsia="Times New Roman" w:hAnsi="Times New Roman" w:cs="Times New Roman"/>
          <w:bCs/>
          <w:color w:val="000000" w:themeColor="text1"/>
          <w:sz w:val="17"/>
          <w:szCs w:val="17"/>
          <w:lang w:val="en-IN"/>
        </w:rPr>
        <w:t xml:space="preserve">, V. O., &amp; Moran, M. A. (2012). Elevated temperature decouples anthocyanins and sugars in berries of Shiraz and Cabernet Franc. </w:t>
      </w:r>
      <w:r w:rsidRPr="002F7029">
        <w:rPr>
          <w:rFonts w:ascii="Times New Roman" w:eastAsia="Times New Roman" w:hAnsi="Times New Roman" w:cs="Times New Roman"/>
          <w:bCs/>
          <w:i/>
          <w:iCs/>
          <w:color w:val="000000" w:themeColor="text1"/>
          <w:sz w:val="17"/>
          <w:szCs w:val="17"/>
          <w:lang w:val="en-IN"/>
        </w:rPr>
        <w:t>Australian Journal of Grape and Wine Research</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18</w:t>
      </w:r>
      <w:r w:rsidRPr="002F7029">
        <w:rPr>
          <w:rFonts w:ascii="Times New Roman" w:eastAsia="Times New Roman" w:hAnsi="Times New Roman" w:cs="Times New Roman"/>
          <w:bCs/>
          <w:color w:val="000000" w:themeColor="text1"/>
          <w:sz w:val="17"/>
          <w:szCs w:val="17"/>
          <w:lang w:val="en-IN"/>
        </w:rPr>
        <w:t xml:space="preserve">(2), 115–122. </w:t>
      </w:r>
      <w:hyperlink r:id="rId147">
        <w:r w:rsidRPr="002F7029">
          <w:rPr>
            <w:rStyle w:val="Hyperlink"/>
            <w:rFonts w:ascii="Times New Roman" w:eastAsia="Times New Roman" w:hAnsi="Times New Roman" w:cs="Times New Roman"/>
            <w:bCs/>
            <w:color w:val="000000" w:themeColor="text1"/>
            <w:sz w:val="17"/>
            <w:szCs w:val="17"/>
            <w:u w:val="none"/>
            <w:lang w:val="en-IN"/>
          </w:rPr>
          <w:t>https://doi.org/10.1111/j.1755-0238.2012.00180.x</w:t>
        </w:r>
      </w:hyperlink>
    </w:p>
    <w:p w14:paraId="34F904B5"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Sahu, N., Saini, A., Behera, S. K., Sayama, T., Sahu, L., Nguyen, V.-T.-V., &amp; Takara, K. (2020). Why apple orchards are shifting to the higher altitudes of the Himalayas? </w:t>
      </w:r>
      <w:r w:rsidRPr="002F7029">
        <w:rPr>
          <w:rFonts w:ascii="Times New Roman" w:eastAsia="Times New Roman" w:hAnsi="Times New Roman" w:cs="Times New Roman"/>
          <w:bCs/>
          <w:i/>
          <w:iCs/>
          <w:color w:val="000000" w:themeColor="text1"/>
          <w:sz w:val="17"/>
          <w:szCs w:val="17"/>
          <w:lang w:val="en-IN"/>
        </w:rPr>
        <w:t>PLOS ONE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15</w:t>
      </w:r>
      <w:r w:rsidRPr="002F7029">
        <w:rPr>
          <w:rFonts w:ascii="Times New Roman" w:eastAsia="Times New Roman" w:hAnsi="Times New Roman" w:cs="Times New Roman"/>
          <w:bCs/>
          <w:color w:val="000000" w:themeColor="text1"/>
          <w:sz w:val="17"/>
          <w:szCs w:val="17"/>
          <w:lang w:val="en-IN"/>
        </w:rPr>
        <w:t xml:space="preserve">(7), Article e0235041. </w:t>
      </w:r>
      <w:hyperlink r:id="rId148">
        <w:r w:rsidRPr="002F7029">
          <w:rPr>
            <w:rStyle w:val="Hyperlink"/>
            <w:rFonts w:ascii="Times New Roman" w:eastAsia="Times New Roman" w:hAnsi="Times New Roman" w:cs="Times New Roman"/>
            <w:bCs/>
            <w:color w:val="000000" w:themeColor="text1"/>
            <w:sz w:val="17"/>
            <w:szCs w:val="17"/>
            <w:u w:val="none"/>
            <w:lang w:val="en-IN"/>
          </w:rPr>
          <w:t>https://doi.org/10.1371/journal.pone.0235041</w:t>
        </w:r>
      </w:hyperlink>
    </w:p>
    <w:p w14:paraId="50366C18"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Salama, A.-M., Ezzat, A., El-</w:t>
      </w:r>
      <w:proofErr w:type="spellStart"/>
      <w:r w:rsidRPr="002F7029">
        <w:rPr>
          <w:rFonts w:ascii="Times New Roman" w:eastAsia="Times New Roman" w:hAnsi="Times New Roman" w:cs="Times New Roman"/>
          <w:bCs/>
          <w:color w:val="000000" w:themeColor="text1"/>
          <w:sz w:val="17"/>
          <w:szCs w:val="17"/>
          <w:lang w:val="en-IN"/>
        </w:rPr>
        <w:t>Ramady</w:t>
      </w:r>
      <w:proofErr w:type="spellEnd"/>
      <w:r w:rsidRPr="002F7029">
        <w:rPr>
          <w:rFonts w:ascii="Times New Roman" w:eastAsia="Times New Roman" w:hAnsi="Times New Roman" w:cs="Times New Roman"/>
          <w:bCs/>
          <w:color w:val="000000" w:themeColor="text1"/>
          <w:sz w:val="17"/>
          <w:szCs w:val="17"/>
          <w:lang w:val="en-IN"/>
        </w:rPr>
        <w:t>, H., Alam-</w:t>
      </w:r>
      <w:proofErr w:type="spellStart"/>
      <w:r w:rsidRPr="002F7029">
        <w:rPr>
          <w:rFonts w:ascii="Times New Roman" w:eastAsia="Times New Roman" w:hAnsi="Times New Roman" w:cs="Times New Roman"/>
          <w:bCs/>
          <w:color w:val="000000" w:themeColor="text1"/>
          <w:sz w:val="17"/>
          <w:szCs w:val="17"/>
          <w:lang w:val="en-IN"/>
        </w:rPr>
        <w:t>Eldein</w:t>
      </w:r>
      <w:proofErr w:type="spellEnd"/>
      <w:r w:rsidRPr="002F7029">
        <w:rPr>
          <w:rFonts w:ascii="Times New Roman" w:eastAsia="Times New Roman" w:hAnsi="Times New Roman" w:cs="Times New Roman"/>
          <w:bCs/>
          <w:color w:val="000000" w:themeColor="text1"/>
          <w:sz w:val="17"/>
          <w:szCs w:val="17"/>
          <w:lang w:val="en-IN"/>
        </w:rPr>
        <w:t xml:space="preserve">, S. M., </w:t>
      </w:r>
      <w:proofErr w:type="spellStart"/>
      <w:r w:rsidRPr="002F7029">
        <w:rPr>
          <w:rFonts w:ascii="Times New Roman" w:eastAsia="Times New Roman" w:hAnsi="Times New Roman" w:cs="Times New Roman"/>
          <w:bCs/>
          <w:color w:val="000000" w:themeColor="text1"/>
          <w:sz w:val="17"/>
          <w:szCs w:val="17"/>
          <w:lang w:val="en-IN"/>
        </w:rPr>
        <w:t>Okba</w:t>
      </w:r>
      <w:proofErr w:type="spellEnd"/>
      <w:r w:rsidRPr="002F7029">
        <w:rPr>
          <w:rFonts w:ascii="Times New Roman" w:eastAsia="Times New Roman" w:hAnsi="Times New Roman" w:cs="Times New Roman"/>
          <w:bCs/>
          <w:color w:val="000000" w:themeColor="text1"/>
          <w:sz w:val="17"/>
          <w:szCs w:val="17"/>
          <w:lang w:val="en-IN"/>
        </w:rPr>
        <w:t xml:space="preserve">, S. K., Elmenofy, H. M., Hassan, I. F., Illés, A., &amp; Holb, I. J. (2021). Temperate fruit trees under climate change: Challenges for dormancy and chilling requirements in warm winter regions. </w:t>
      </w:r>
      <w:proofErr w:type="spellStart"/>
      <w:r w:rsidRPr="002F7029">
        <w:rPr>
          <w:rFonts w:ascii="Times New Roman" w:eastAsia="Times New Roman" w:hAnsi="Times New Roman" w:cs="Times New Roman"/>
          <w:bCs/>
          <w:i/>
          <w:iCs/>
          <w:color w:val="000000" w:themeColor="text1"/>
          <w:sz w:val="17"/>
          <w:szCs w:val="17"/>
          <w:lang w:val="en-IN"/>
        </w:rPr>
        <w:t>Horticulturae</w:t>
      </w:r>
      <w:proofErr w:type="spellEnd"/>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7</w:t>
      </w:r>
      <w:r w:rsidRPr="002F7029">
        <w:rPr>
          <w:rFonts w:ascii="Times New Roman" w:eastAsia="Times New Roman" w:hAnsi="Times New Roman" w:cs="Times New Roman"/>
          <w:bCs/>
          <w:color w:val="000000" w:themeColor="text1"/>
          <w:sz w:val="17"/>
          <w:szCs w:val="17"/>
          <w:lang w:val="en-IN"/>
        </w:rPr>
        <w:t xml:space="preserve">(4), Article 86. </w:t>
      </w:r>
      <w:hyperlink r:id="rId149">
        <w:r w:rsidRPr="002F7029">
          <w:rPr>
            <w:rStyle w:val="Hyperlink"/>
            <w:rFonts w:ascii="Times New Roman" w:eastAsia="Times New Roman" w:hAnsi="Times New Roman" w:cs="Times New Roman"/>
            <w:bCs/>
            <w:color w:val="000000" w:themeColor="text1"/>
            <w:sz w:val="17"/>
            <w:szCs w:val="17"/>
            <w:u w:val="none"/>
            <w:lang w:val="en-IN"/>
          </w:rPr>
          <w:t>https://doi.org/10.3390/horticulturae7040086</w:t>
        </w:r>
      </w:hyperlink>
    </w:p>
    <w:p w14:paraId="52DDB47A"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Santana-Vieira, D. D. S., Freschi, L., Almeida, L. A. H., Moraes, D. H. S., Neves, D. M., Santos, L. M., Bertolde, F. Z., Soares Filho, W. S., Coelho Filho, M. A., &amp; </w:t>
      </w:r>
      <w:proofErr w:type="spellStart"/>
      <w:r w:rsidRPr="002F7029">
        <w:rPr>
          <w:rFonts w:ascii="Times New Roman" w:eastAsia="Times New Roman" w:hAnsi="Times New Roman" w:cs="Times New Roman"/>
          <w:bCs/>
          <w:color w:val="000000" w:themeColor="text1"/>
          <w:sz w:val="17"/>
          <w:szCs w:val="17"/>
          <w:lang w:val="en-IN"/>
        </w:rPr>
        <w:t>Gesteira</w:t>
      </w:r>
      <w:proofErr w:type="spellEnd"/>
      <w:r w:rsidRPr="002F7029">
        <w:rPr>
          <w:rFonts w:ascii="Times New Roman" w:eastAsia="Times New Roman" w:hAnsi="Times New Roman" w:cs="Times New Roman"/>
          <w:bCs/>
          <w:color w:val="000000" w:themeColor="text1"/>
          <w:sz w:val="17"/>
          <w:szCs w:val="17"/>
          <w:lang w:val="en-IN"/>
        </w:rPr>
        <w:t xml:space="preserve">, A. S. (2016). Survival strategies of citrus rootstocks subjected to drought. </w:t>
      </w:r>
      <w:r w:rsidRPr="002F7029">
        <w:rPr>
          <w:rFonts w:ascii="Times New Roman" w:eastAsia="Times New Roman" w:hAnsi="Times New Roman" w:cs="Times New Roman"/>
          <w:bCs/>
          <w:i/>
          <w:iCs/>
          <w:color w:val="000000" w:themeColor="text1"/>
          <w:sz w:val="17"/>
          <w:szCs w:val="17"/>
          <w:lang w:val="en-IN"/>
        </w:rPr>
        <w:t>Scientific Reports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6</w:t>
      </w:r>
      <w:r w:rsidRPr="002F7029">
        <w:rPr>
          <w:rFonts w:ascii="Times New Roman" w:eastAsia="Times New Roman" w:hAnsi="Times New Roman" w:cs="Times New Roman"/>
          <w:bCs/>
          <w:color w:val="000000" w:themeColor="text1"/>
          <w:sz w:val="17"/>
          <w:szCs w:val="17"/>
          <w:lang w:val="en-IN"/>
        </w:rPr>
        <w:t xml:space="preserve">(1), Article 38775. </w:t>
      </w:r>
      <w:hyperlink r:id="rId150">
        <w:r w:rsidRPr="002F7029">
          <w:rPr>
            <w:rStyle w:val="Hyperlink"/>
            <w:rFonts w:ascii="Times New Roman" w:eastAsia="Times New Roman" w:hAnsi="Times New Roman" w:cs="Times New Roman"/>
            <w:bCs/>
            <w:color w:val="000000" w:themeColor="text1"/>
            <w:sz w:val="17"/>
            <w:szCs w:val="17"/>
            <w:u w:val="none"/>
            <w:lang w:val="en-IN"/>
          </w:rPr>
          <w:t>https://doi.org/10.1038/srep38775</w:t>
        </w:r>
      </w:hyperlink>
    </w:p>
    <w:p w14:paraId="1E618B68"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Santos, J. A., Fraga, H., Malheiro, A. C., Moutinho-Pereira, J., Dinis, L.-T., Correia, C., </w:t>
      </w:r>
      <w:proofErr w:type="spellStart"/>
      <w:r w:rsidRPr="002F7029">
        <w:rPr>
          <w:rFonts w:ascii="Times New Roman" w:eastAsia="Times New Roman" w:hAnsi="Times New Roman" w:cs="Times New Roman"/>
          <w:bCs/>
          <w:color w:val="000000" w:themeColor="text1"/>
          <w:sz w:val="17"/>
          <w:szCs w:val="17"/>
          <w:lang w:val="en-IN"/>
        </w:rPr>
        <w:t>Moriondo</w:t>
      </w:r>
      <w:proofErr w:type="spellEnd"/>
      <w:r w:rsidRPr="002F7029">
        <w:rPr>
          <w:rFonts w:ascii="Times New Roman" w:eastAsia="Times New Roman" w:hAnsi="Times New Roman" w:cs="Times New Roman"/>
          <w:bCs/>
          <w:color w:val="000000" w:themeColor="text1"/>
          <w:sz w:val="17"/>
          <w:szCs w:val="17"/>
          <w:lang w:val="en-IN"/>
        </w:rPr>
        <w:t xml:space="preserve">, M., Leolini, L., </w:t>
      </w:r>
      <w:proofErr w:type="spellStart"/>
      <w:r w:rsidRPr="002F7029">
        <w:rPr>
          <w:rFonts w:ascii="Times New Roman" w:eastAsia="Times New Roman" w:hAnsi="Times New Roman" w:cs="Times New Roman"/>
          <w:bCs/>
          <w:color w:val="000000" w:themeColor="text1"/>
          <w:sz w:val="17"/>
          <w:szCs w:val="17"/>
          <w:lang w:val="en-IN"/>
        </w:rPr>
        <w:t>Dibari</w:t>
      </w:r>
      <w:proofErr w:type="spellEnd"/>
      <w:r w:rsidRPr="002F7029">
        <w:rPr>
          <w:rFonts w:ascii="Times New Roman" w:eastAsia="Times New Roman" w:hAnsi="Times New Roman" w:cs="Times New Roman"/>
          <w:bCs/>
          <w:color w:val="000000" w:themeColor="text1"/>
          <w:sz w:val="17"/>
          <w:szCs w:val="17"/>
          <w:lang w:val="en-IN"/>
        </w:rPr>
        <w:t xml:space="preserve">, C., </w:t>
      </w:r>
      <w:proofErr w:type="spellStart"/>
      <w:r w:rsidRPr="002F7029">
        <w:rPr>
          <w:rFonts w:ascii="Times New Roman" w:eastAsia="Times New Roman" w:hAnsi="Times New Roman" w:cs="Times New Roman"/>
          <w:bCs/>
          <w:color w:val="000000" w:themeColor="text1"/>
          <w:sz w:val="17"/>
          <w:szCs w:val="17"/>
          <w:lang w:val="en-IN"/>
        </w:rPr>
        <w:t>Costafreda-Aumedes</w:t>
      </w:r>
      <w:proofErr w:type="spellEnd"/>
      <w:r w:rsidRPr="002F7029">
        <w:rPr>
          <w:rFonts w:ascii="Times New Roman" w:eastAsia="Times New Roman" w:hAnsi="Times New Roman" w:cs="Times New Roman"/>
          <w:bCs/>
          <w:color w:val="000000" w:themeColor="text1"/>
          <w:sz w:val="17"/>
          <w:szCs w:val="17"/>
          <w:lang w:val="en-IN"/>
        </w:rPr>
        <w:t xml:space="preserve">, S., </w:t>
      </w:r>
      <w:proofErr w:type="spellStart"/>
      <w:r w:rsidRPr="002F7029">
        <w:rPr>
          <w:rFonts w:ascii="Times New Roman" w:eastAsia="Times New Roman" w:hAnsi="Times New Roman" w:cs="Times New Roman"/>
          <w:bCs/>
          <w:color w:val="000000" w:themeColor="text1"/>
          <w:sz w:val="17"/>
          <w:szCs w:val="17"/>
          <w:lang w:val="en-IN"/>
        </w:rPr>
        <w:t>Kartschall</w:t>
      </w:r>
      <w:proofErr w:type="spellEnd"/>
      <w:r w:rsidRPr="002F7029">
        <w:rPr>
          <w:rFonts w:ascii="Times New Roman" w:eastAsia="Times New Roman" w:hAnsi="Times New Roman" w:cs="Times New Roman"/>
          <w:bCs/>
          <w:color w:val="000000" w:themeColor="text1"/>
          <w:sz w:val="17"/>
          <w:szCs w:val="17"/>
          <w:lang w:val="en-IN"/>
        </w:rPr>
        <w:t xml:space="preserve">, T., Menz, C., Molitor, D., Junk, J., Beyer, M., &amp; Schultz, H. R. (2020). A review of the potential climate change impacts and adaptation options for European viticulture. </w:t>
      </w:r>
      <w:r w:rsidRPr="002F7029">
        <w:rPr>
          <w:rFonts w:ascii="Times New Roman" w:eastAsia="Times New Roman" w:hAnsi="Times New Roman" w:cs="Times New Roman"/>
          <w:bCs/>
          <w:i/>
          <w:iCs/>
          <w:color w:val="000000" w:themeColor="text1"/>
          <w:sz w:val="17"/>
          <w:szCs w:val="17"/>
          <w:lang w:val="en-IN"/>
        </w:rPr>
        <w:t>Applied Sciences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10</w:t>
      </w:r>
      <w:r w:rsidRPr="002F7029">
        <w:rPr>
          <w:rFonts w:ascii="Times New Roman" w:eastAsia="Times New Roman" w:hAnsi="Times New Roman" w:cs="Times New Roman"/>
          <w:bCs/>
          <w:color w:val="000000" w:themeColor="text1"/>
          <w:sz w:val="17"/>
          <w:szCs w:val="17"/>
          <w:lang w:val="en-IN"/>
        </w:rPr>
        <w:t xml:space="preserve">(9), Article 3092. </w:t>
      </w:r>
      <w:hyperlink r:id="rId151">
        <w:r w:rsidRPr="002F7029">
          <w:rPr>
            <w:rStyle w:val="Hyperlink"/>
            <w:rFonts w:ascii="Times New Roman" w:eastAsia="Times New Roman" w:hAnsi="Times New Roman" w:cs="Times New Roman"/>
            <w:bCs/>
            <w:color w:val="000000" w:themeColor="text1"/>
            <w:sz w:val="17"/>
            <w:szCs w:val="17"/>
            <w:u w:val="none"/>
            <w:lang w:val="en-IN"/>
          </w:rPr>
          <w:t>https://doi.org/10.3390/app10093092</w:t>
        </w:r>
      </w:hyperlink>
    </w:p>
    <w:p w14:paraId="1F2DDB84"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Serra, I., Strever, A., Myburgh, P. A., &amp; </w:t>
      </w:r>
      <w:proofErr w:type="spellStart"/>
      <w:r w:rsidRPr="002F7029">
        <w:rPr>
          <w:rFonts w:ascii="Times New Roman" w:eastAsia="Times New Roman" w:hAnsi="Times New Roman" w:cs="Times New Roman"/>
          <w:bCs/>
          <w:color w:val="000000" w:themeColor="text1"/>
          <w:sz w:val="17"/>
          <w:szCs w:val="17"/>
          <w:lang w:val="en-IN"/>
        </w:rPr>
        <w:t>Deloire</w:t>
      </w:r>
      <w:proofErr w:type="spellEnd"/>
      <w:r w:rsidRPr="002F7029">
        <w:rPr>
          <w:rFonts w:ascii="Times New Roman" w:eastAsia="Times New Roman" w:hAnsi="Times New Roman" w:cs="Times New Roman"/>
          <w:bCs/>
          <w:color w:val="000000" w:themeColor="text1"/>
          <w:sz w:val="17"/>
          <w:szCs w:val="17"/>
          <w:lang w:val="en-IN"/>
        </w:rPr>
        <w:t>, A. (2014). Review: The interaction between rootstocks and cultivars (</w:t>
      </w:r>
      <w:r w:rsidRPr="002F7029">
        <w:rPr>
          <w:rFonts w:ascii="Times New Roman" w:eastAsia="Times New Roman" w:hAnsi="Times New Roman" w:cs="Times New Roman"/>
          <w:bCs/>
          <w:i/>
          <w:iCs/>
          <w:color w:val="000000" w:themeColor="text1"/>
          <w:sz w:val="17"/>
          <w:szCs w:val="17"/>
          <w:lang w:val="en-IN"/>
        </w:rPr>
        <w:t>Vitis vinifera</w:t>
      </w:r>
      <w:r w:rsidRPr="002F7029">
        <w:rPr>
          <w:rFonts w:ascii="Times New Roman" w:eastAsia="Times New Roman" w:hAnsi="Times New Roman" w:cs="Times New Roman"/>
          <w:bCs/>
          <w:color w:val="000000" w:themeColor="text1"/>
          <w:sz w:val="17"/>
          <w:szCs w:val="17"/>
          <w:lang w:val="en-IN"/>
        </w:rPr>
        <w:t xml:space="preserve"> L.) to enhance drought tolerance in grapevine. </w:t>
      </w:r>
      <w:r w:rsidRPr="002F7029">
        <w:rPr>
          <w:rFonts w:ascii="Times New Roman" w:eastAsia="Times New Roman" w:hAnsi="Times New Roman" w:cs="Times New Roman"/>
          <w:bCs/>
          <w:i/>
          <w:iCs/>
          <w:color w:val="000000" w:themeColor="text1"/>
          <w:sz w:val="17"/>
          <w:szCs w:val="17"/>
          <w:lang w:val="en-IN"/>
        </w:rPr>
        <w:t>Australian Journal of Grape and Wine Research</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20</w:t>
      </w:r>
      <w:r w:rsidRPr="002F7029">
        <w:rPr>
          <w:rFonts w:ascii="Times New Roman" w:eastAsia="Times New Roman" w:hAnsi="Times New Roman" w:cs="Times New Roman"/>
          <w:bCs/>
          <w:color w:val="000000" w:themeColor="text1"/>
          <w:sz w:val="17"/>
          <w:szCs w:val="17"/>
          <w:lang w:val="en-IN"/>
        </w:rPr>
        <w:t xml:space="preserve">(1), 1–14. </w:t>
      </w:r>
      <w:hyperlink r:id="rId152">
        <w:r w:rsidRPr="002F7029">
          <w:rPr>
            <w:rStyle w:val="Hyperlink"/>
            <w:rFonts w:ascii="Times New Roman" w:eastAsia="Times New Roman" w:hAnsi="Times New Roman" w:cs="Times New Roman"/>
            <w:bCs/>
            <w:color w:val="000000" w:themeColor="text1"/>
            <w:sz w:val="17"/>
            <w:szCs w:val="17"/>
            <w:u w:val="none"/>
            <w:lang w:val="en-IN"/>
          </w:rPr>
          <w:t>https://doi.org/10.1111/ajgw.12054</w:t>
        </w:r>
      </w:hyperlink>
    </w:p>
    <w:p w14:paraId="3D4B1C6A"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Sgubin</w:t>
      </w:r>
      <w:proofErr w:type="spellEnd"/>
      <w:r w:rsidRPr="002F7029">
        <w:rPr>
          <w:rFonts w:ascii="Times New Roman" w:eastAsia="Times New Roman" w:hAnsi="Times New Roman" w:cs="Times New Roman"/>
          <w:bCs/>
          <w:color w:val="000000" w:themeColor="text1"/>
          <w:sz w:val="17"/>
          <w:szCs w:val="17"/>
          <w:lang w:val="en-IN"/>
        </w:rPr>
        <w:t xml:space="preserve">, G., </w:t>
      </w:r>
      <w:proofErr w:type="spellStart"/>
      <w:r w:rsidRPr="002F7029">
        <w:rPr>
          <w:rFonts w:ascii="Times New Roman" w:eastAsia="Times New Roman" w:hAnsi="Times New Roman" w:cs="Times New Roman"/>
          <w:bCs/>
          <w:color w:val="000000" w:themeColor="text1"/>
          <w:sz w:val="17"/>
          <w:szCs w:val="17"/>
          <w:lang w:val="en-IN"/>
        </w:rPr>
        <w:t>Swingedouw</w:t>
      </w:r>
      <w:proofErr w:type="spellEnd"/>
      <w:r w:rsidRPr="002F7029">
        <w:rPr>
          <w:rFonts w:ascii="Times New Roman" w:eastAsia="Times New Roman" w:hAnsi="Times New Roman" w:cs="Times New Roman"/>
          <w:bCs/>
          <w:color w:val="000000" w:themeColor="text1"/>
          <w:sz w:val="17"/>
          <w:szCs w:val="17"/>
          <w:lang w:val="en-IN"/>
        </w:rPr>
        <w:t xml:space="preserve">, D., Mignot, J., Gambetta, G. A., Bois, B., </w:t>
      </w:r>
      <w:proofErr w:type="spellStart"/>
      <w:r w:rsidRPr="002F7029">
        <w:rPr>
          <w:rFonts w:ascii="Times New Roman" w:eastAsia="Times New Roman" w:hAnsi="Times New Roman" w:cs="Times New Roman"/>
          <w:bCs/>
          <w:color w:val="000000" w:themeColor="text1"/>
          <w:sz w:val="17"/>
          <w:szCs w:val="17"/>
          <w:lang w:val="en-IN"/>
        </w:rPr>
        <w:t>Loukos</w:t>
      </w:r>
      <w:proofErr w:type="spellEnd"/>
      <w:r w:rsidRPr="002F7029">
        <w:rPr>
          <w:rFonts w:ascii="Times New Roman" w:eastAsia="Times New Roman" w:hAnsi="Times New Roman" w:cs="Times New Roman"/>
          <w:bCs/>
          <w:color w:val="000000" w:themeColor="text1"/>
          <w:sz w:val="17"/>
          <w:szCs w:val="17"/>
          <w:lang w:val="en-IN"/>
        </w:rPr>
        <w:t>, H., Noël, T., Pieri, P., García de Cortázar-</w:t>
      </w:r>
      <w:proofErr w:type="spellStart"/>
      <w:r w:rsidRPr="002F7029">
        <w:rPr>
          <w:rFonts w:ascii="Times New Roman" w:eastAsia="Times New Roman" w:hAnsi="Times New Roman" w:cs="Times New Roman"/>
          <w:bCs/>
          <w:color w:val="000000" w:themeColor="text1"/>
          <w:sz w:val="17"/>
          <w:szCs w:val="17"/>
          <w:lang w:val="en-IN"/>
        </w:rPr>
        <w:t>Atauri</w:t>
      </w:r>
      <w:proofErr w:type="spellEnd"/>
      <w:r w:rsidRPr="002F7029">
        <w:rPr>
          <w:rFonts w:ascii="Times New Roman" w:eastAsia="Times New Roman" w:hAnsi="Times New Roman" w:cs="Times New Roman"/>
          <w:bCs/>
          <w:color w:val="000000" w:themeColor="text1"/>
          <w:sz w:val="17"/>
          <w:szCs w:val="17"/>
          <w:lang w:val="en-IN"/>
        </w:rPr>
        <w:t xml:space="preserve">, I., Ollat, N., &amp; van Leeuwen, C. (2023). Non-linear loss of suitable wine regions over Europe in response to increasing global warming. </w:t>
      </w:r>
      <w:r w:rsidRPr="002F7029">
        <w:rPr>
          <w:rFonts w:ascii="Times New Roman" w:eastAsia="Times New Roman" w:hAnsi="Times New Roman" w:cs="Times New Roman"/>
          <w:bCs/>
          <w:i/>
          <w:iCs/>
          <w:color w:val="000000" w:themeColor="text1"/>
          <w:sz w:val="17"/>
          <w:szCs w:val="17"/>
          <w:lang w:val="en-IN"/>
        </w:rPr>
        <w:t>Global Change Biology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29</w:t>
      </w:r>
      <w:r w:rsidRPr="002F7029">
        <w:rPr>
          <w:rFonts w:ascii="Times New Roman" w:eastAsia="Times New Roman" w:hAnsi="Times New Roman" w:cs="Times New Roman"/>
          <w:bCs/>
          <w:color w:val="000000" w:themeColor="text1"/>
          <w:sz w:val="17"/>
          <w:szCs w:val="17"/>
          <w:lang w:val="en-IN"/>
        </w:rPr>
        <w:t xml:space="preserve">(3), 808–826. </w:t>
      </w:r>
      <w:hyperlink r:id="rId153">
        <w:r w:rsidRPr="002F7029">
          <w:rPr>
            <w:rStyle w:val="Hyperlink"/>
            <w:rFonts w:ascii="Times New Roman" w:eastAsia="Times New Roman" w:hAnsi="Times New Roman" w:cs="Times New Roman"/>
            <w:bCs/>
            <w:color w:val="000000" w:themeColor="text1"/>
            <w:sz w:val="17"/>
            <w:szCs w:val="17"/>
            <w:u w:val="none"/>
            <w:lang w:val="en-IN"/>
          </w:rPr>
          <w:t>https://doi.org/10.1111/gcb.16493</w:t>
        </w:r>
      </w:hyperlink>
    </w:p>
    <w:p w14:paraId="058DD099"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Shimazaki, M., &amp; </w:t>
      </w:r>
      <w:proofErr w:type="spellStart"/>
      <w:r w:rsidRPr="002F7029">
        <w:rPr>
          <w:rFonts w:ascii="Times New Roman" w:eastAsia="Times New Roman" w:hAnsi="Times New Roman" w:cs="Times New Roman"/>
          <w:bCs/>
          <w:color w:val="000000" w:themeColor="text1"/>
          <w:sz w:val="17"/>
          <w:szCs w:val="17"/>
          <w:lang w:val="en-IN"/>
        </w:rPr>
        <w:t>Nesumi</w:t>
      </w:r>
      <w:proofErr w:type="spellEnd"/>
      <w:r w:rsidRPr="002F7029">
        <w:rPr>
          <w:rFonts w:ascii="Times New Roman" w:eastAsia="Times New Roman" w:hAnsi="Times New Roman" w:cs="Times New Roman"/>
          <w:bCs/>
          <w:color w:val="000000" w:themeColor="text1"/>
          <w:sz w:val="17"/>
          <w:szCs w:val="17"/>
          <w:lang w:val="en-IN"/>
        </w:rPr>
        <w:t xml:space="preserve">, H. (2016). A method for high-quality citrus production using drip fertigation and plastic sheet mulching. </w:t>
      </w:r>
      <w:r w:rsidRPr="002F7029">
        <w:rPr>
          <w:rFonts w:ascii="Times New Roman" w:eastAsia="Times New Roman" w:hAnsi="Times New Roman" w:cs="Times New Roman"/>
          <w:bCs/>
          <w:i/>
          <w:iCs/>
          <w:color w:val="000000" w:themeColor="text1"/>
          <w:sz w:val="17"/>
          <w:szCs w:val="17"/>
          <w:lang w:val="en-IN"/>
        </w:rPr>
        <w:t>Japan Agricultural Research Quarterly: JARQ</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50</w:t>
      </w:r>
      <w:r w:rsidRPr="002F7029">
        <w:rPr>
          <w:rFonts w:ascii="Times New Roman" w:eastAsia="Times New Roman" w:hAnsi="Times New Roman" w:cs="Times New Roman"/>
          <w:bCs/>
          <w:color w:val="000000" w:themeColor="text1"/>
          <w:sz w:val="17"/>
          <w:szCs w:val="17"/>
          <w:lang w:val="en-IN"/>
        </w:rPr>
        <w:t xml:space="preserve">(4), 301–306. </w:t>
      </w:r>
      <w:hyperlink r:id="rId154">
        <w:r w:rsidRPr="002F7029">
          <w:rPr>
            <w:rStyle w:val="Hyperlink"/>
            <w:rFonts w:ascii="Times New Roman" w:eastAsia="Times New Roman" w:hAnsi="Times New Roman" w:cs="Times New Roman"/>
            <w:bCs/>
            <w:color w:val="000000" w:themeColor="text1"/>
            <w:sz w:val="17"/>
            <w:szCs w:val="17"/>
            <w:u w:val="none"/>
            <w:lang w:val="en-IN"/>
          </w:rPr>
          <w:t>https://doi.org/10.6090/jarq.50.301</w:t>
        </w:r>
      </w:hyperlink>
    </w:p>
    <w:p w14:paraId="2C883900"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Solari, L. I., Johnson, S., &amp; DeJong, T. M. (2006). Hydraulic conductance characteristics of peach (Prunus persica) trees on different rootstocks are related to biomass production and distribution. </w:t>
      </w:r>
      <w:r w:rsidRPr="002F7029">
        <w:rPr>
          <w:rFonts w:ascii="Times New Roman" w:eastAsia="Times New Roman" w:hAnsi="Times New Roman" w:cs="Times New Roman"/>
          <w:bCs/>
          <w:i/>
          <w:iCs/>
          <w:color w:val="000000" w:themeColor="text1"/>
          <w:sz w:val="17"/>
          <w:szCs w:val="17"/>
          <w:lang w:val="en-IN"/>
        </w:rPr>
        <w:t>Tree Physiology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26</w:t>
      </w:r>
      <w:r w:rsidRPr="002F7029">
        <w:rPr>
          <w:rFonts w:ascii="Times New Roman" w:eastAsia="Times New Roman" w:hAnsi="Times New Roman" w:cs="Times New Roman"/>
          <w:bCs/>
          <w:color w:val="000000" w:themeColor="text1"/>
          <w:sz w:val="17"/>
          <w:szCs w:val="17"/>
          <w:lang w:val="en-IN"/>
        </w:rPr>
        <w:t xml:space="preserve">(10), 1343–1350. </w:t>
      </w:r>
      <w:hyperlink r:id="rId155">
        <w:r w:rsidRPr="002F7029">
          <w:rPr>
            <w:rStyle w:val="Hyperlink"/>
            <w:rFonts w:ascii="Times New Roman" w:eastAsia="Times New Roman" w:hAnsi="Times New Roman" w:cs="Times New Roman"/>
            <w:bCs/>
            <w:color w:val="000000" w:themeColor="text1"/>
            <w:sz w:val="17"/>
            <w:szCs w:val="17"/>
            <w:u w:val="none"/>
            <w:lang w:val="en-IN"/>
          </w:rPr>
          <w:t>https://doi.org/10.1093/treephys/26.10.1343</w:t>
        </w:r>
      </w:hyperlink>
    </w:p>
    <w:p w14:paraId="00FF906B"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Steduto</w:t>
      </w:r>
      <w:proofErr w:type="spellEnd"/>
      <w:r w:rsidRPr="002F7029">
        <w:rPr>
          <w:rFonts w:ascii="Times New Roman" w:eastAsia="Times New Roman" w:hAnsi="Times New Roman" w:cs="Times New Roman"/>
          <w:bCs/>
          <w:color w:val="000000" w:themeColor="text1"/>
          <w:sz w:val="17"/>
          <w:szCs w:val="17"/>
          <w:lang w:val="en-IN"/>
        </w:rPr>
        <w:t xml:space="preserve">, P., Hsiao, T. C., </w:t>
      </w:r>
      <w:proofErr w:type="spellStart"/>
      <w:r w:rsidRPr="002F7029">
        <w:rPr>
          <w:rFonts w:ascii="Times New Roman" w:eastAsia="Times New Roman" w:hAnsi="Times New Roman" w:cs="Times New Roman"/>
          <w:bCs/>
          <w:color w:val="000000" w:themeColor="text1"/>
          <w:sz w:val="17"/>
          <w:szCs w:val="17"/>
          <w:lang w:val="en-IN"/>
        </w:rPr>
        <w:t>Fereres</w:t>
      </w:r>
      <w:proofErr w:type="spellEnd"/>
      <w:r w:rsidRPr="002F7029">
        <w:rPr>
          <w:rFonts w:ascii="Times New Roman" w:eastAsia="Times New Roman" w:hAnsi="Times New Roman" w:cs="Times New Roman"/>
          <w:bCs/>
          <w:color w:val="000000" w:themeColor="text1"/>
          <w:sz w:val="17"/>
          <w:szCs w:val="17"/>
          <w:lang w:val="en-IN"/>
        </w:rPr>
        <w:t xml:space="preserve">, E., &amp; Raes, D. (2012). </w:t>
      </w:r>
      <w:r w:rsidRPr="002F7029">
        <w:rPr>
          <w:rFonts w:ascii="Times New Roman" w:eastAsia="Times New Roman" w:hAnsi="Times New Roman" w:cs="Times New Roman"/>
          <w:bCs/>
          <w:i/>
          <w:iCs/>
          <w:color w:val="000000" w:themeColor="text1"/>
          <w:sz w:val="17"/>
          <w:szCs w:val="17"/>
          <w:lang w:val="en-IN"/>
        </w:rPr>
        <w:t>Crop yield response to water</w:t>
      </w:r>
      <w:r w:rsidRPr="002F7029">
        <w:rPr>
          <w:rFonts w:ascii="Times New Roman" w:eastAsia="Times New Roman" w:hAnsi="Times New Roman" w:cs="Times New Roman"/>
          <w:bCs/>
          <w:color w:val="000000" w:themeColor="text1"/>
          <w:sz w:val="17"/>
          <w:szCs w:val="17"/>
          <w:lang w:val="en-IN"/>
        </w:rPr>
        <w:t xml:space="preserve"> (FAO Irrigation and Drainage Paper No. 66). Food and Agriculture Organization of the United Nations. </w:t>
      </w:r>
      <w:hyperlink r:id="rId156">
        <w:r w:rsidRPr="002F7029">
          <w:rPr>
            <w:rStyle w:val="Hyperlink"/>
            <w:rFonts w:ascii="Times New Roman" w:eastAsia="Times New Roman" w:hAnsi="Times New Roman" w:cs="Times New Roman"/>
            <w:bCs/>
            <w:color w:val="000000" w:themeColor="text1"/>
            <w:sz w:val="17"/>
            <w:szCs w:val="17"/>
            <w:u w:val="none"/>
            <w:lang w:val="en-IN"/>
          </w:rPr>
          <w:t>https://www.fao.org/4/i2800e/i2800e00.htm</w:t>
        </w:r>
      </w:hyperlink>
    </w:p>
    <w:p w14:paraId="6753FD0F"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Stoll, M., Loveys, B., &amp; Dry, P. (2000). Hormonal changes induced by partial rootzone drying of irrigated grapevine. </w:t>
      </w:r>
      <w:r w:rsidRPr="002F7029">
        <w:rPr>
          <w:rFonts w:ascii="Times New Roman" w:eastAsia="Times New Roman" w:hAnsi="Times New Roman" w:cs="Times New Roman"/>
          <w:bCs/>
          <w:i/>
          <w:iCs/>
          <w:color w:val="000000" w:themeColor="text1"/>
          <w:sz w:val="17"/>
          <w:szCs w:val="17"/>
          <w:lang w:val="en-IN"/>
        </w:rPr>
        <w:t>Journal of Experimental Botany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51</w:t>
      </w:r>
      <w:r w:rsidRPr="002F7029">
        <w:rPr>
          <w:rFonts w:ascii="Times New Roman" w:eastAsia="Times New Roman" w:hAnsi="Times New Roman" w:cs="Times New Roman"/>
          <w:bCs/>
          <w:color w:val="000000" w:themeColor="text1"/>
          <w:sz w:val="17"/>
          <w:szCs w:val="17"/>
          <w:lang w:val="en-IN"/>
        </w:rPr>
        <w:t xml:space="preserve">(350), 1627–1634. </w:t>
      </w:r>
      <w:hyperlink r:id="rId157">
        <w:r w:rsidRPr="002F7029">
          <w:rPr>
            <w:rStyle w:val="Hyperlink"/>
            <w:rFonts w:ascii="Times New Roman" w:eastAsia="Times New Roman" w:hAnsi="Times New Roman" w:cs="Times New Roman"/>
            <w:bCs/>
            <w:color w:val="000000" w:themeColor="text1"/>
            <w:sz w:val="17"/>
            <w:szCs w:val="17"/>
            <w:u w:val="none"/>
            <w:lang w:val="en-IN"/>
          </w:rPr>
          <w:t>https://doi.org/10.1093/jexbot/51.350.1627</w:t>
        </w:r>
      </w:hyperlink>
    </w:p>
    <w:p w14:paraId="1C201E64"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Sugiura, T. (2025). Meteorological responses of fruit trees, impact of climate change on fruit production, and adaptation strategies. </w:t>
      </w:r>
      <w:r w:rsidRPr="002F7029">
        <w:rPr>
          <w:rFonts w:ascii="Times New Roman" w:eastAsia="Times New Roman" w:hAnsi="Times New Roman" w:cs="Times New Roman"/>
          <w:bCs/>
          <w:i/>
          <w:iCs/>
          <w:color w:val="000000" w:themeColor="text1"/>
          <w:sz w:val="17"/>
          <w:szCs w:val="17"/>
          <w:lang w:val="en-IN"/>
        </w:rPr>
        <w:t>The Horticulture Journal</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94</w:t>
      </w:r>
      <w:r w:rsidRPr="002F7029">
        <w:rPr>
          <w:rFonts w:ascii="Times New Roman" w:eastAsia="Times New Roman" w:hAnsi="Times New Roman" w:cs="Times New Roman"/>
          <w:bCs/>
          <w:color w:val="000000" w:themeColor="text1"/>
          <w:sz w:val="17"/>
          <w:szCs w:val="17"/>
          <w:lang w:val="en-IN"/>
        </w:rPr>
        <w:t xml:space="preserve">(3), 285–295. </w:t>
      </w:r>
      <w:hyperlink r:id="rId158">
        <w:r w:rsidRPr="002F7029">
          <w:rPr>
            <w:rStyle w:val="Hyperlink"/>
            <w:rFonts w:ascii="Times New Roman" w:eastAsia="Times New Roman" w:hAnsi="Times New Roman" w:cs="Times New Roman"/>
            <w:bCs/>
            <w:color w:val="000000" w:themeColor="text1"/>
            <w:sz w:val="17"/>
            <w:szCs w:val="17"/>
            <w:u w:val="none"/>
            <w:lang w:val="en-IN"/>
          </w:rPr>
          <w:t>https://doi.org/10.2503/hortj.SZD-R004</w:t>
        </w:r>
      </w:hyperlink>
    </w:p>
    <w:p w14:paraId="173A9D86"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Sugiura, T., Ogawa, H., Fukuda, N., &amp; Moriguchi, T. (2013). Changes in the taste and textural attributes of apples in response to climate change. </w:t>
      </w:r>
      <w:r w:rsidRPr="002F7029">
        <w:rPr>
          <w:rFonts w:ascii="Times New Roman" w:eastAsia="Times New Roman" w:hAnsi="Times New Roman" w:cs="Times New Roman"/>
          <w:bCs/>
          <w:i/>
          <w:iCs/>
          <w:color w:val="000000" w:themeColor="text1"/>
          <w:sz w:val="17"/>
          <w:szCs w:val="17"/>
          <w:lang w:val="en-IN"/>
        </w:rPr>
        <w:t>Scientific Reports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3</w:t>
      </w:r>
      <w:r w:rsidRPr="002F7029">
        <w:rPr>
          <w:rFonts w:ascii="Times New Roman" w:eastAsia="Times New Roman" w:hAnsi="Times New Roman" w:cs="Times New Roman"/>
          <w:bCs/>
          <w:color w:val="000000" w:themeColor="text1"/>
          <w:sz w:val="17"/>
          <w:szCs w:val="17"/>
          <w:lang w:val="en-IN"/>
        </w:rPr>
        <w:t xml:space="preserve">(1), Article 2418. </w:t>
      </w:r>
      <w:hyperlink r:id="rId159">
        <w:r w:rsidRPr="002F7029">
          <w:rPr>
            <w:rStyle w:val="Hyperlink"/>
            <w:rFonts w:ascii="Times New Roman" w:eastAsia="Times New Roman" w:hAnsi="Times New Roman" w:cs="Times New Roman"/>
            <w:bCs/>
            <w:color w:val="000000" w:themeColor="text1"/>
            <w:sz w:val="17"/>
            <w:szCs w:val="17"/>
            <w:u w:val="none"/>
            <w:lang w:val="en-IN"/>
          </w:rPr>
          <w:t>https://doi.org/10.1038/srep02418</w:t>
        </w:r>
      </w:hyperlink>
    </w:p>
    <w:p w14:paraId="3EB9E430"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Sugiura, T., Shiraishi, M., Konno, S., &amp; Sato, A. (2019). Assessment of deterioration in skin </w:t>
      </w:r>
      <w:proofErr w:type="spellStart"/>
      <w:r w:rsidRPr="002F7029">
        <w:rPr>
          <w:rFonts w:ascii="Times New Roman" w:eastAsia="Times New Roman" w:hAnsi="Times New Roman" w:cs="Times New Roman"/>
          <w:bCs/>
          <w:color w:val="000000" w:themeColor="text1"/>
          <w:sz w:val="17"/>
          <w:szCs w:val="17"/>
          <w:lang w:val="en-IN"/>
        </w:rPr>
        <w:t>color</w:t>
      </w:r>
      <w:proofErr w:type="spellEnd"/>
      <w:r w:rsidRPr="002F7029">
        <w:rPr>
          <w:rFonts w:ascii="Times New Roman" w:eastAsia="Times New Roman" w:hAnsi="Times New Roman" w:cs="Times New Roman"/>
          <w:bCs/>
          <w:color w:val="000000" w:themeColor="text1"/>
          <w:sz w:val="17"/>
          <w:szCs w:val="17"/>
          <w:lang w:val="en-IN"/>
        </w:rPr>
        <w:t xml:space="preserve"> of table grape berries due to climate change and effects of two adaptation measures. </w:t>
      </w:r>
      <w:r w:rsidRPr="002F7029">
        <w:rPr>
          <w:rFonts w:ascii="Times New Roman" w:eastAsia="Times New Roman" w:hAnsi="Times New Roman" w:cs="Times New Roman"/>
          <w:bCs/>
          <w:i/>
          <w:iCs/>
          <w:color w:val="000000" w:themeColor="text1"/>
          <w:sz w:val="17"/>
          <w:szCs w:val="17"/>
          <w:lang w:val="en-IN"/>
        </w:rPr>
        <w:t>Journal of Agricultural Meteorology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75</w:t>
      </w:r>
      <w:r w:rsidRPr="002F7029">
        <w:rPr>
          <w:rFonts w:ascii="Times New Roman" w:eastAsia="Times New Roman" w:hAnsi="Times New Roman" w:cs="Times New Roman"/>
          <w:bCs/>
          <w:color w:val="000000" w:themeColor="text1"/>
          <w:sz w:val="17"/>
          <w:szCs w:val="17"/>
          <w:lang w:val="en-IN"/>
        </w:rPr>
        <w:t xml:space="preserve">(2), 67–75. </w:t>
      </w:r>
      <w:hyperlink r:id="rId160">
        <w:r w:rsidRPr="002F7029">
          <w:rPr>
            <w:rStyle w:val="Hyperlink"/>
            <w:rFonts w:ascii="Times New Roman" w:eastAsia="Times New Roman" w:hAnsi="Times New Roman" w:cs="Times New Roman"/>
            <w:bCs/>
            <w:color w:val="000000" w:themeColor="text1"/>
            <w:sz w:val="17"/>
            <w:szCs w:val="17"/>
            <w:u w:val="none"/>
            <w:lang w:val="en-IN"/>
          </w:rPr>
          <w:t>https://doi.org/10.2480/agrmet.d-18-00032</w:t>
        </w:r>
      </w:hyperlink>
    </w:p>
    <w:p w14:paraId="7C73DC5A"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Sugiura, T., Sumida, H., Yokoyama, S., &amp; Ono, H. (2012). Overview of recent effects of global warming on agricultural production in Japan. </w:t>
      </w:r>
      <w:r w:rsidRPr="002F7029">
        <w:rPr>
          <w:rFonts w:ascii="Times New Roman" w:eastAsia="Times New Roman" w:hAnsi="Times New Roman" w:cs="Times New Roman"/>
          <w:bCs/>
          <w:i/>
          <w:iCs/>
          <w:color w:val="000000" w:themeColor="text1"/>
          <w:sz w:val="17"/>
          <w:szCs w:val="17"/>
          <w:lang w:val="en-IN"/>
        </w:rPr>
        <w:t>Japan Agricultural Research Quarterly: JARQ</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46</w:t>
      </w:r>
      <w:r w:rsidRPr="002F7029">
        <w:rPr>
          <w:rFonts w:ascii="Times New Roman" w:eastAsia="Times New Roman" w:hAnsi="Times New Roman" w:cs="Times New Roman"/>
          <w:bCs/>
          <w:color w:val="000000" w:themeColor="text1"/>
          <w:sz w:val="17"/>
          <w:szCs w:val="17"/>
          <w:lang w:val="en-IN"/>
        </w:rPr>
        <w:t xml:space="preserve">(1), 7–13. </w:t>
      </w:r>
      <w:hyperlink r:id="rId161">
        <w:r w:rsidRPr="002F7029">
          <w:rPr>
            <w:rStyle w:val="Hyperlink"/>
            <w:rFonts w:ascii="Times New Roman" w:eastAsia="Times New Roman" w:hAnsi="Times New Roman" w:cs="Times New Roman"/>
            <w:bCs/>
            <w:color w:val="000000" w:themeColor="text1"/>
            <w:sz w:val="17"/>
            <w:szCs w:val="17"/>
            <w:u w:val="none"/>
            <w:lang w:val="en-IN"/>
          </w:rPr>
          <w:t>https://doi.org/10.6090/jarq.46.7</w:t>
        </w:r>
      </w:hyperlink>
    </w:p>
    <w:p w14:paraId="03D95D83"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Sukhera, J. (2022). Narrative reviews: Flexible, rigorous, and practical. </w:t>
      </w:r>
      <w:r w:rsidRPr="002F7029">
        <w:rPr>
          <w:rFonts w:ascii="Times New Roman" w:eastAsia="Times New Roman" w:hAnsi="Times New Roman" w:cs="Times New Roman"/>
          <w:bCs/>
          <w:i/>
          <w:iCs/>
          <w:color w:val="000000" w:themeColor="text1"/>
          <w:sz w:val="17"/>
          <w:szCs w:val="17"/>
          <w:lang w:val="en-IN"/>
        </w:rPr>
        <w:t>Journal of Graduate Medical Education</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14</w:t>
      </w:r>
      <w:r w:rsidRPr="002F7029">
        <w:rPr>
          <w:rFonts w:ascii="Times New Roman" w:eastAsia="Times New Roman" w:hAnsi="Times New Roman" w:cs="Times New Roman"/>
          <w:bCs/>
          <w:color w:val="000000" w:themeColor="text1"/>
          <w:sz w:val="17"/>
          <w:szCs w:val="17"/>
          <w:lang w:val="en-IN"/>
        </w:rPr>
        <w:t xml:space="preserve">(4), 414–417. </w:t>
      </w:r>
      <w:hyperlink r:id="rId162">
        <w:r w:rsidRPr="002F7029">
          <w:rPr>
            <w:rStyle w:val="Hyperlink"/>
            <w:rFonts w:ascii="Times New Roman" w:eastAsia="Times New Roman" w:hAnsi="Times New Roman" w:cs="Times New Roman"/>
            <w:bCs/>
            <w:color w:val="000000" w:themeColor="text1"/>
            <w:sz w:val="17"/>
            <w:szCs w:val="17"/>
            <w:u w:val="none"/>
            <w:lang w:val="en-IN"/>
          </w:rPr>
          <w:t>https://doi.org/10.4300/jgme-d-22-00480.1</w:t>
        </w:r>
      </w:hyperlink>
    </w:p>
    <w:p w14:paraId="44E524F6"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nl-BE"/>
        </w:rPr>
        <w:t xml:space="preserve">Tegtmeier, R., Švara, A., Gritsenko, D., &amp; Khan, A. (2025). </w:t>
      </w:r>
      <w:r w:rsidRPr="002F7029">
        <w:rPr>
          <w:rFonts w:ascii="Times New Roman" w:eastAsia="Times New Roman" w:hAnsi="Times New Roman" w:cs="Times New Roman"/>
          <w:bCs/>
          <w:i/>
          <w:iCs/>
          <w:color w:val="000000" w:themeColor="text1"/>
          <w:sz w:val="17"/>
          <w:szCs w:val="17"/>
          <w:lang w:val="en-IN"/>
        </w:rPr>
        <w:t xml:space="preserve">Malus </w:t>
      </w:r>
      <w:proofErr w:type="spellStart"/>
      <w:r w:rsidRPr="002F7029">
        <w:rPr>
          <w:rFonts w:ascii="Times New Roman" w:eastAsia="Times New Roman" w:hAnsi="Times New Roman" w:cs="Times New Roman"/>
          <w:bCs/>
          <w:i/>
          <w:iCs/>
          <w:color w:val="000000" w:themeColor="text1"/>
          <w:sz w:val="17"/>
          <w:szCs w:val="17"/>
          <w:lang w:val="en-IN"/>
        </w:rPr>
        <w:t>sieversii</w:t>
      </w:r>
      <w:proofErr w:type="spellEnd"/>
      <w:r w:rsidRPr="002F7029">
        <w:rPr>
          <w:rFonts w:ascii="Times New Roman" w:eastAsia="Times New Roman" w:hAnsi="Times New Roman" w:cs="Times New Roman"/>
          <w:bCs/>
          <w:color w:val="000000" w:themeColor="text1"/>
          <w:sz w:val="17"/>
          <w:szCs w:val="17"/>
          <w:lang w:val="en-IN"/>
        </w:rPr>
        <w:t xml:space="preserve">: A historical, genetic, and conservational perspective of the primary progenitor species of domesticated apples. </w:t>
      </w:r>
      <w:r w:rsidRPr="002F7029">
        <w:rPr>
          <w:rFonts w:ascii="Times New Roman" w:eastAsia="Times New Roman" w:hAnsi="Times New Roman" w:cs="Times New Roman"/>
          <w:bCs/>
          <w:i/>
          <w:iCs/>
          <w:color w:val="000000" w:themeColor="text1"/>
          <w:sz w:val="17"/>
          <w:szCs w:val="17"/>
          <w:lang w:val="en-IN"/>
        </w:rPr>
        <w:t>Horticulture Research</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12</w:t>
      </w:r>
      <w:r w:rsidRPr="002F7029">
        <w:rPr>
          <w:rFonts w:ascii="Times New Roman" w:eastAsia="Times New Roman" w:hAnsi="Times New Roman" w:cs="Times New Roman"/>
          <w:bCs/>
          <w:color w:val="000000" w:themeColor="text1"/>
          <w:sz w:val="17"/>
          <w:szCs w:val="17"/>
          <w:lang w:val="en-IN"/>
        </w:rPr>
        <w:t xml:space="preserve">(1), Article uhae244. </w:t>
      </w:r>
      <w:hyperlink r:id="rId163">
        <w:r w:rsidRPr="002F7029">
          <w:rPr>
            <w:rStyle w:val="Hyperlink"/>
            <w:rFonts w:ascii="Times New Roman" w:eastAsia="Times New Roman" w:hAnsi="Times New Roman" w:cs="Times New Roman"/>
            <w:bCs/>
            <w:color w:val="000000" w:themeColor="text1"/>
            <w:sz w:val="17"/>
            <w:szCs w:val="17"/>
            <w:u w:val="none"/>
            <w:lang w:val="en-IN"/>
          </w:rPr>
          <w:t>https://doi.org/10.1093/hr/uhae244</w:t>
        </w:r>
      </w:hyperlink>
    </w:p>
    <w:p w14:paraId="25C7B7F4"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Tombesi, S., Johnson, R. S., Day, K. R., &amp; DeJong, T. M. (2010). Relationships between xylem vessel characteristics, calculated axial hydraulic conductance and size-controlling capacity of peach rootstocks. </w:t>
      </w:r>
      <w:r w:rsidRPr="002F7029">
        <w:rPr>
          <w:rFonts w:ascii="Times New Roman" w:eastAsia="Times New Roman" w:hAnsi="Times New Roman" w:cs="Times New Roman"/>
          <w:bCs/>
          <w:i/>
          <w:iCs/>
          <w:color w:val="000000" w:themeColor="text1"/>
          <w:sz w:val="17"/>
          <w:szCs w:val="17"/>
          <w:lang w:val="en-IN"/>
        </w:rPr>
        <w:t>Annals of Botany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105</w:t>
      </w:r>
      <w:r w:rsidRPr="002F7029">
        <w:rPr>
          <w:rFonts w:ascii="Times New Roman" w:eastAsia="Times New Roman" w:hAnsi="Times New Roman" w:cs="Times New Roman"/>
          <w:bCs/>
          <w:color w:val="000000" w:themeColor="text1"/>
          <w:sz w:val="17"/>
          <w:szCs w:val="17"/>
          <w:lang w:val="en-IN"/>
        </w:rPr>
        <w:t xml:space="preserve">(2), 327–331. </w:t>
      </w:r>
      <w:hyperlink r:id="rId164">
        <w:r w:rsidRPr="002F7029">
          <w:rPr>
            <w:rStyle w:val="Hyperlink"/>
            <w:rFonts w:ascii="Times New Roman" w:eastAsia="Times New Roman" w:hAnsi="Times New Roman" w:cs="Times New Roman"/>
            <w:bCs/>
            <w:color w:val="000000" w:themeColor="text1"/>
            <w:sz w:val="17"/>
            <w:szCs w:val="17"/>
            <w:u w:val="none"/>
            <w:lang w:val="en-IN"/>
          </w:rPr>
          <w:t>https://doi.org/10.1093/aob/mcp281</w:t>
        </w:r>
      </w:hyperlink>
    </w:p>
    <w:p w14:paraId="79E8C329"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Tominaga, A., Ito, A., Sugiura, T., &amp; Yamane, H. (2022). How is global warming affecting fruit tree blooming? “Flowering (dormancy) disorder” in Japanese pear (</w:t>
      </w:r>
      <w:r w:rsidRPr="002F7029">
        <w:rPr>
          <w:rFonts w:ascii="Times New Roman" w:eastAsia="Times New Roman" w:hAnsi="Times New Roman" w:cs="Times New Roman"/>
          <w:bCs/>
          <w:i/>
          <w:iCs/>
          <w:color w:val="000000" w:themeColor="text1"/>
          <w:sz w:val="17"/>
          <w:szCs w:val="17"/>
          <w:lang w:val="en-IN"/>
        </w:rPr>
        <w:t xml:space="preserve">Pyrus </w:t>
      </w:r>
      <w:proofErr w:type="spellStart"/>
      <w:r w:rsidRPr="002F7029">
        <w:rPr>
          <w:rFonts w:ascii="Times New Roman" w:eastAsia="Times New Roman" w:hAnsi="Times New Roman" w:cs="Times New Roman"/>
          <w:bCs/>
          <w:i/>
          <w:iCs/>
          <w:color w:val="000000" w:themeColor="text1"/>
          <w:sz w:val="17"/>
          <w:szCs w:val="17"/>
          <w:lang w:val="en-IN"/>
        </w:rPr>
        <w:t>pyrifolia</w:t>
      </w:r>
      <w:proofErr w:type="spellEnd"/>
      <w:r w:rsidRPr="002F7029">
        <w:rPr>
          <w:rFonts w:ascii="Times New Roman" w:eastAsia="Times New Roman" w:hAnsi="Times New Roman" w:cs="Times New Roman"/>
          <w:bCs/>
          <w:color w:val="000000" w:themeColor="text1"/>
          <w:sz w:val="17"/>
          <w:szCs w:val="17"/>
          <w:lang w:val="en-IN"/>
        </w:rPr>
        <w:t xml:space="preserve">) as a case study. </w:t>
      </w:r>
      <w:r w:rsidRPr="002F7029">
        <w:rPr>
          <w:rFonts w:ascii="Times New Roman" w:eastAsia="Times New Roman" w:hAnsi="Times New Roman" w:cs="Times New Roman"/>
          <w:bCs/>
          <w:i/>
          <w:iCs/>
          <w:color w:val="000000" w:themeColor="text1"/>
          <w:sz w:val="17"/>
          <w:szCs w:val="17"/>
          <w:lang w:val="en-IN"/>
        </w:rPr>
        <w:t>Frontiers in Plant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12</w:t>
      </w:r>
      <w:r w:rsidRPr="002F7029">
        <w:rPr>
          <w:rFonts w:ascii="Times New Roman" w:eastAsia="Times New Roman" w:hAnsi="Times New Roman" w:cs="Times New Roman"/>
          <w:bCs/>
          <w:color w:val="000000" w:themeColor="text1"/>
          <w:sz w:val="17"/>
          <w:szCs w:val="17"/>
          <w:lang w:val="en-IN"/>
        </w:rPr>
        <w:t xml:space="preserve">, Article 787638. </w:t>
      </w:r>
      <w:hyperlink r:id="rId165">
        <w:r w:rsidRPr="002F7029">
          <w:rPr>
            <w:rStyle w:val="Hyperlink"/>
            <w:rFonts w:ascii="Times New Roman" w:eastAsia="Times New Roman" w:hAnsi="Times New Roman" w:cs="Times New Roman"/>
            <w:bCs/>
            <w:color w:val="000000" w:themeColor="text1"/>
            <w:sz w:val="17"/>
            <w:szCs w:val="17"/>
            <w:u w:val="none"/>
            <w:lang w:val="en-IN"/>
          </w:rPr>
          <w:t>https://doi.org/10.3389/fpls.2021.787638</w:t>
        </w:r>
      </w:hyperlink>
    </w:p>
    <w:p w14:paraId="7193EC95"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Töpfer, R., &amp; Trapp, O. (2022). A cool climate perspective on grapevine breeding: Climate change and sustainability are driving forces for changing varieties in a traditional market. </w:t>
      </w:r>
      <w:r w:rsidRPr="002F7029">
        <w:rPr>
          <w:rFonts w:ascii="Times New Roman" w:eastAsia="Times New Roman" w:hAnsi="Times New Roman" w:cs="Times New Roman"/>
          <w:bCs/>
          <w:i/>
          <w:iCs/>
          <w:color w:val="000000" w:themeColor="text1"/>
          <w:sz w:val="17"/>
          <w:szCs w:val="17"/>
          <w:lang w:val="en-IN"/>
        </w:rPr>
        <w:t>Theoretical and Applied Genetics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135</w:t>
      </w:r>
      <w:r w:rsidRPr="002F7029">
        <w:rPr>
          <w:rFonts w:ascii="Times New Roman" w:eastAsia="Times New Roman" w:hAnsi="Times New Roman" w:cs="Times New Roman"/>
          <w:bCs/>
          <w:color w:val="000000" w:themeColor="text1"/>
          <w:sz w:val="17"/>
          <w:szCs w:val="17"/>
          <w:lang w:val="en-IN"/>
        </w:rPr>
        <w:t xml:space="preserve">(11), 3947–3960. </w:t>
      </w:r>
      <w:hyperlink r:id="rId166">
        <w:r w:rsidRPr="002F7029">
          <w:rPr>
            <w:rStyle w:val="Hyperlink"/>
            <w:rFonts w:ascii="Times New Roman" w:eastAsia="Times New Roman" w:hAnsi="Times New Roman" w:cs="Times New Roman"/>
            <w:bCs/>
            <w:color w:val="000000" w:themeColor="text1"/>
            <w:sz w:val="17"/>
            <w:szCs w:val="17"/>
            <w:u w:val="none"/>
            <w:lang w:val="en-IN"/>
          </w:rPr>
          <w:t>https://doi.org/10.1007/s00122-022-04077-0</w:t>
        </w:r>
      </w:hyperlink>
    </w:p>
    <w:p w14:paraId="52E81786"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lastRenderedPageBreak/>
        <w:t>Tscholl</w:t>
      </w:r>
      <w:proofErr w:type="spellEnd"/>
      <w:r w:rsidRPr="002F7029">
        <w:rPr>
          <w:rFonts w:ascii="Times New Roman" w:eastAsia="Times New Roman" w:hAnsi="Times New Roman" w:cs="Times New Roman"/>
          <w:bCs/>
          <w:color w:val="000000" w:themeColor="text1"/>
          <w:sz w:val="17"/>
          <w:szCs w:val="17"/>
          <w:lang w:val="en-IN"/>
        </w:rPr>
        <w:t xml:space="preserve">, S., </w:t>
      </w:r>
      <w:proofErr w:type="spellStart"/>
      <w:r w:rsidRPr="002F7029">
        <w:rPr>
          <w:rFonts w:ascii="Times New Roman" w:eastAsia="Times New Roman" w:hAnsi="Times New Roman" w:cs="Times New Roman"/>
          <w:bCs/>
          <w:color w:val="000000" w:themeColor="text1"/>
          <w:sz w:val="17"/>
          <w:szCs w:val="17"/>
          <w:lang w:val="en-IN"/>
        </w:rPr>
        <w:t>Candiago</w:t>
      </w:r>
      <w:proofErr w:type="spellEnd"/>
      <w:r w:rsidRPr="002F7029">
        <w:rPr>
          <w:rFonts w:ascii="Times New Roman" w:eastAsia="Times New Roman" w:hAnsi="Times New Roman" w:cs="Times New Roman"/>
          <w:bCs/>
          <w:color w:val="000000" w:themeColor="text1"/>
          <w:sz w:val="17"/>
          <w:szCs w:val="17"/>
          <w:lang w:val="en-IN"/>
        </w:rPr>
        <w:t xml:space="preserve">, S., </w:t>
      </w:r>
      <w:proofErr w:type="spellStart"/>
      <w:r w:rsidRPr="002F7029">
        <w:rPr>
          <w:rFonts w:ascii="Times New Roman" w:eastAsia="Times New Roman" w:hAnsi="Times New Roman" w:cs="Times New Roman"/>
          <w:bCs/>
          <w:color w:val="000000" w:themeColor="text1"/>
          <w:sz w:val="17"/>
          <w:szCs w:val="17"/>
          <w:lang w:val="en-IN"/>
        </w:rPr>
        <w:t>Marsoner</w:t>
      </w:r>
      <w:proofErr w:type="spellEnd"/>
      <w:r w:rsidRPr="002F7029">
        <w:rPr>
          <w:rFonts w:ascii="Times New Roman" w:eastAsia="Times New Roman" w:hAnsi="Times New Roman" w:cs="Times New Roman"/>
          <w:bCs/>
          <w:color w:val="000000" w:themeColor="text1"/>
          <w:sz w:val="17"/>
          <w:szCs w:val="17"/>
          <w:lang w:val="en-IN"/>
        </w:rPr>
        <w:t xml:space="preserve">, T., Fraga, H., Giupponi, C., &amp; </w:t>
      </w:r>
      <w:proofErr w:type="spellStart"/>
      <w:r w:rsidRPr="002F7029">
        <w:rPr>
          <w:rFonts w:ascii="Times New Roman" w:eastAsia="Times New Roman" w:hAnsi="Times New Roman" w:cs="Times New Roman"/>
          <w:bCs/>
          <w:color w:val="000000" w:themeColor="text1"/>
          <w:sz w:val="17"/>
          <w:szCs w:val="17"/>
          <w:lang w:val="en-IN"/>
        </w:rPr>
        <w:t>Egarter</w:t>
      </w:r>
      <w:proofErr w:type="spellEnd"/>
      <w:r w:rsidRPr="002F7029">
        <w:rPr>
          <w:rFonts w:ascii="Times New Roman" w:eastAsia="Times New Roman" w:hAnsi="Times New Roman" w:cs="Times New Roman"/>
          <w:bCs/>
          <w:color w:val="000000" w:themeColor="text1"/>
          <w:sz w:val="17"/>
          <w:szCs w:val="17"/>
          <w:lang w:val="en-IN"/>
        </w:rPr>
        <w:t xml:space="preserve"> Vigl, L. (2024). Climate resilience of European wine regions. </w:t>
      </w:r>
      <w:r w:rsidRPr="002F7029">
        <w:rPr>
          <w:rFonts w:ascii="Times New Roman" w:eastAsia="Times New Roman" w:hAnsi="Times New Roman" w:cs="Times New Roman"/>
          <w:bCs/>
          <w:i/>
          <w:iCs/>
          <w:color w:val="000000" w:themeColor="text1"/>
          <w:sz w:val="17"/>
          <w:szCs w:val="17"/>
          <w:lang w:val="en-IN"/>
        </w:rPr>
        <w:t>Nature Communications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15</w:t>
      </w:r>
      <w:r w:rsidRPr="002F7029">
        <w:rPr>
          <w:rFonts w:ascii="Times New Roman" w:eastAsia="Times New Roman" w:hAnsi="Times New Roman" w:cs="Times New Roman"/>
          <w:bCs/>
          <w:color w:val="000000" w:themeColor="text1"/>
          <w:sz w:val="17"/>
          <w:szCs w:val="17"/>
          <w:lang w:val="en-IN"/>
        </w:rPr>
        <w:t xml:space="preserve">(1), Article 6254. </w:t>
      </w:r>
      <w:hyperlink r:id="rId167">
        <w:r w:rsidRPr="002F7029">
          <w:rPr>
            <w:rStyle w:val="Hyperlink"/>
            <w:rFonts w:ascii="Times New Roman" w:eastAsia="Times New Roman" w:hAnsi="Times New Roman" w:cs="Times New Roman"/>
            <w:bCs/>
            <w:color w:val="000000" w:themeColor="text1"/>
            <w:sz w:val="17"/>
            <w:szCs w:val="17"/>
            <w:u w:val="none"/>
            <w:lang w:val="en-IN"/>
          </w:rPr>
          <w:t>https://doi.org/10.1038/s41467-024-50549-w</w:t>
        </w:r>
      </w:hyperlink>
    </w:p>
    <w:p w14:paraId="2CDB5236"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Tu, A., Xie, S., Zheng, H., Li, H., Li, Y., &amp; Mo, M. (2021). Long-term effects of living grass mulching on soil and water conservation and fruit yield of citrus orchard in south China. </w:t>
      </w:r>
      <w:r w:rsidRPr="002F7029">
        <w:rPr>
          <w:rFonts w:ascii="Times New Roman" w:eastAsia="Times New Roman" w:hAnsi="Times New Roman" w:cs="Times New Roman"/>
          <w:bCs/>
          <w:i/>
          <w:iCs/>
          <w:color w:val="000000" w:themeColor="text1"/>
          <w:sz w:val="17"/>
          <w:szCs w:val="17"/>
          <w:lang w:val="en-IN"/>
        </w:rPr>
        <w:t>Agricultural Water Management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252</w:t>
      </w:r>
      <w:r w:rsidRPr="002F7029">
        <w:rPr>
          <w:rFonts w:ascii="Times New Roman" w:eastAsia="Times New Roman" w:hAnsi="Times New Roman" w:cs="Times New Roman"/>
          <w:bCs/>
          <w:color w:val="000000" w:themeColor="text1"/>
          <w:sz w:val="17"/>
          <w:szCs w:val="17"/>
          <w:lang w:val="en-IN"/>
        </w:rPr>
        <w:t xml:space="preserve">, Article 106897. </w:t>
      </w:r>
      <w:hyperlink r:id="rId168">
        <w:r w:rsidRPr="002F7029">
          <w:rPr>
            <w:rStyle w:val="Hyperlink"/>
            <w:rFonts w:ascii="Times New Roman" w:eastAsia="Times New Roman" w:hAnsi="Times New Roman" w:cs="Times New Roman"/>
            <w:bCs/>
            <w:color w:val="000000" w:themeColor="text1"/>
            <w:sz w:val="17"/>
            <w:szCs w:val="17"/>
            <w:u w:val="none"/>
            <w:lang w:val="en-IN"/>
          </w:rPr>
          <w:t>https://doi.org/10.1016/j.agwat.2021.106897</w:t>
        </w:r>
      </w:hyperlink>
    </w:p>
    <w:p w14:paraId="74EDB5FC"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Unterberger, C., Brunner, L., </w:t>
      </w:r>
      <w:proofErr w:type="spellStart"/>
      <w:r w:rsidRPr="002F7029">
        <w:rPr>
          <w:rFonts w:ascii="Times New Roman" w:eastAsia="Times New Roman" w:hAnsi="Times New Roman" w:cs="Times New Roman"/>
          <w:bCs/>
          <w:color w:val="000000" w:themeColor="text1"/>
          <w:sz w:val="17"/>
          <w:szCs w:val="17"/>
          <w:lang w:val="en-IN"/>
        </w:rPr>
        <w:t>Nabernegg</w:t>
      </w:r>
      <w:proofErr w:type="spellEnd"/>
      <w:r w:rsidRPr="002F7029">
        <w:rPr>
          <w:rFonts w:ascii="Times New Roman" w:eastAsia="Times New Roman" w:hAnsi="Times New Roman" w:cs="Times New Roman"/>
          <w:bCs/>
          <w:color w:val="000000" w:themeColor="text1"/>
          <w:sz w:val="17"/>
          <w:szCs w:val="17"/>
          <w:lang w:val="en-IN"/>
        </w:rPr>
        <w:t xml:space="preserve">, S., Steininger, K. W., Steiner, A. K., </w:t>
      </w:r>
      <w:proofErr w:type="spellStart"/>
      <w:r w:rsidRPr="002F7029">
        <w:rPr>
          <w:rFonts w:ascii="Times New Roman" w:eastAsia="Times New Roman" w:hAnsi="Times New Roman" w:cs="Times New Roman"/>
          <w:bCs/>
          <w:color w:val="000000" w:themeColor="text1"/>
          <w:sz w:val="17"/>
          <w:szCs w:val="17"/>
          <w:lang w:val="en-IN"/>
        </w:rPr>
        <w:t>Stabentheiner</w:t>
      </w:r>
      <w:proofErr w:type="spellEnd"/>
      <w:r w:rsidRPr="002F7029">
        <w:rPr>
          <w:rFonts w:ascii="Times New Roman" w:eastAsia="Times New Roman" w:hAnsi="Times New Roman" w:cs="Times New Roman"/>
          <w:bCs/>
          <w:color w:val="000000" w:themeColor="text1"/>
          <w:sz w:val="17"/>
          <w:szCs w:val="17"/>
          <w:lang w:val="en-IN"/>
        </w:rPr>
        <w:t xml:space="preserve">, E., Monschein, S., &amp; </w:t>
      </w:r>
      <w:proofErr w:type="spellStart"/>
      <w:r w:rsidRPr="002F7029">
        <w:rPr>
          <w:rFonts w:ascii="Times New Roman" w:eastAsia="Times New Roman" w:hAnsi="Times New Roman" w:cs="Times New Roman"/>
          <w:bCs/>
          <w:color w:val="000000" w:themeColor="text1"/>
          <w:sz w:val="17"/>
          <w:szCs w:val="17"/>
          <w:lang w:val="en-IN"/>
        </w:rPr>
        <w:t>Truhetz</w:t>
      </w:r>
      <w:proofErr w:type="spellEnd"/>
      <w:r w:rsidRPr="002F7029">
        <w:rPr>
          <w:rFonts w:ascii="Times New Roman" w:eastAsia="Times New Roman" w:hAnsi="Times New Roman" w:cs="Times New Roman"/>
          <w:bCs/>
          <w:color w:val="000000" w:themeColor="text1"/>
          <w:sz w:val="17"/>
          <w:szCs w:val="17"/>
          <w:lang w:val="en-IN"/>
        </w:rPr>
        <w:t xml:space="preserve">, H. (2018). Spring frost risk for regional apple production under a warmer climate. </w:t>
      </w:r>
      <w:r w:rsidRPr="002F7029">
        <w:rPr>
          <w:rFonts w:ascii="Times New Roman" w:eastAsia="Times New Roman" w:hAnsi="Times New Roman" w:cs="Times New Roman"/>
          <w:bCs/>
          <w:i/>
          <w:iCs/>
          <w:color w:val="000000" w:themeColor="text1"/>
          <w:sz w:val="17"/>
          <w:szCs w:val="17"/>
          <w:lang w:val="en-IN"/>
        </w:rPr>
        <w:t>PLOS ONE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13</w:t>
      </w:r>
      <w:r w:rsidRPr="002F7029">
        <w:rPr>
          <w:rFonts w:ascii="Times New Roman" w:eastAsia="Times New Roman" w:hAnsi="Times New Roman" w:cs="Times New Roman"/>
          <w:bCs/>
          <w:color w:val="000000" w:themeColor="text1"/>
          <w:sz w:val="17"/>
          <w:szCs w:val="17"/>
          <w:lang w:val="en-IN"/>
        </w:rPr>
        <w:t xml:space="preserve">(7), Article e0200201. </w:t>
      </w:r>
      <w:hyperlink r:id="rId169">
        <w:r w:rsidRPr="002F7029">
          <w:rPr>
            <w:rStyle w:val="Hyperlink"/>
            <w:rFonts w:ascii="Times New Roman" w:eastAsia="Times New Roman" w:hAnsi="Times New Roman" w:cs="Times New Roman"/>
            <w:bCs/>
            <w:color w:val="000000" w:themeColor="text1"/>
            <w:sz w:val="17"/>
            <w:szCs w:val="17"/>
            <w:u w:val="none"/>
            <w:lang w:val="en-IN"/>
          </w:rPr>
          <w:t>https://doi.org/10.1371/journal.pone.0200201</w:t>
        </w:r>
      </w:hyperlink>
    </w:p>
    <w:p w14:paraId="5E6B729D"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Urrestarazu, J., </w:t>
      </w:r>
      <w:proofErr w:type="spellStart"/>
      <w:r w:rsidRPr="002F7029">
        <w:rPr>
          <w:rFonts w:ascii="Times New Roman" w:eastAsia="Times New Roman" w:hAnsi="Times New Roman" w:cs="Times New Roman"/>
          <w:bCs/>
          <w:color w:val="000000" w:themeColor="text1"/>
          <w:sz w:val="17"/>
          <w:szCs w:val="17"/>
          <w:lang w:val="en-IN"/>
        </w:rPr>
        <w:t>Muranty</w:t>
      </w:r>
      <w:proofErr w:type="spellEnd"/>
      <w:r w:rsidRPr="002F7029">
        <w:rPr>
          <w:rFonts w:ascii="Times New Roman" w:eastAsia="Times New Roman" w:hAnsi="Times New Roman" w:cs="Times New Roman"/>
          <w:bCs/>
          <w:color w:val="000000" w:themeColor="text1"/>
          <w:sz w:val="17"/>
          <w:szCs w:val="17"/>
          <w:lang w:val="en-IN"/>
        </w:rPr>
        <w:t xml:space="preserve">, H., </w:t>
      </w:r>
      <w:proofErr w:type="spellStart"/>
      <w:r w:rsidRPr="002F7029">
        <w:rPr>
          <w:rFonts w:ascii="Times New Roman" w:eastAsia="Times New Roman" w:hAnsi="Times New Roman" w:cs="Times New Roman"/>
          <w:bCs/>
          <w:color w:val="000000" w:themeColor="text1"/>
          <w:sz w:val="17"/>
          <w:szCs w:val="17"/>
          <w:lang w:val="en-IN"/>
        </w:rPr>
        <w:t>Denancé</w:t>
      </w:r>
      <w:proofErr w:type="spellEnd"/>
      <w:r w:rsidRPr="002F7029">
        <w:rPr>
          <w:rFonts w:ascii="Times New Roman" w:eastAsia="Times New Roman" w:hAnsi="Times New Roman" w:cs="Times New Roman"/>
          <w:bCs/>
          <w:color w:val="000000" w:themeColor="text1"/>
          <w:sz w:val="17"/>
          <w:szCs w:val="17"/>
          <w:lang w:val="en-IN"/>
        </w:rPr>
        <w:t xml:space="preserve">, C., </w:t>
      </w:r>
      <w:proofErr w:type="spellStart"/>
      <w:r w:rsidRPr="002F7029">
        <w:rPr>
          <w:rFonts w:ascii="Times New Roman" w:eastAsia="Times New Roman" w:hAnsi="Times New Roman" w:cs="Times New Roman"/>
          <w:bCs/>
          <w:color w:val="000000" w:themeColor="text1"/>
          <w:sz w:val="17"/>
          <w:szCs w:val="17"/>
          <w:lang w:val="en-IN"/>
        </w:rPr>
        <w:t>Leforestier</w:t>
      </w:r>
      <w:proofErr w:type="spellEnd"/>
      <w:r w:rsidRPr="002F7029">
        <w:rPr>
          <w:rFonts w:ascii="Times New Roman" w:eastAsia="Times New Roman" w:hAnsi="Times New Roman" w:cs="Times New Roman"/>
          <w:bCs/>
          <w:color w:val="000000" w:themeColor="text1"/>
          <w:sz w:val="17"/>
          <w:szCs w:val="17"/>
          <w:lang w:val="en-IN"/>
        </w:rPr>
        <w:t xml:space="preserve">, D., Ravon, E., </w:t>
      </w:r>
      <w:proofErr w:type="spellStart"/>
      <w:r w:rsidRPr="002F7029">
        <w:rPr>
          <w:rFonts w:ascii="Times New Roman" w:eastAsia="Times New Roman" w:hAnsi="Times New Roman" w:cs="Times New Roman"/>
          <w:bCs/>
          <w:color w:val="000000" w:themeColor="text1"/>
          <w:sz w:val="17"/>
          <w:szCs w:val="17"/>
          <w:lang w:val="en-IN"/>
        </w:rPr>
        <w:t>Guyader</w:t>
      </w:r>
      <w:proofErr w:type="spellEnd"/>
      <w:r w:rsidRPr="002F7029">
        <w:rPr>
          <w:rFonts w:ascii="Times New Roman" w:eastAsia="Times New Roman" w:hAnsi="Times New Roman" w:cs="Times New Roman"/>
          <w:bCs/>
          <w:color w:val="000000" w:themeColor="text1"/>
          <w:sz w:val="17"/>
          <w:szCs w:val="17"/>
          <w:lang w:val="en-IN"/>
        </w:rPr>
        <w:t xml:space="preserve">, A., </w:t>
      </w:r>
      <w:proofErr w:type="spellStart"/>
      <w:r w:rsidRPr="002F7029">
        <w:rPr>
          <w:rFonts w:ascii="Times New Roman" w:eastAsia="Times New Roman" w:hAnsi="Times New Roman" w:cs="Times New Roman"/>
          <w:bCs/>
          <w:color w:val="000000" w:themeColor="text1"/>
          <w:sz w:val="17"/>
          <w:szCs w:val="17"/>
          <w:lang w:val="en-IN"/>
        </w:rPr>
        <w:t>Guisnel</w:t>
      </w:r>
      <w:proofErr w:type="spellEnd"/>
      <w:r w:rsidRPr="002F7029">
        <w:rPr>
          <w:rFonts w:ascii="Times New Roman" w:eastAsia="Times New Roman" w:hAnsi="Times New Roman" w:cs="Times New Roman"/>
          <w:bCs/>
          <w:color w:val="000000" w:themeColor="text1"/>
          <w:sz w:val="17"/>
          <w:szCs w:val="17"/>
          <w:lang w:val="en-IN"/>
        </w:rPr>
        <w:t xml:space="preserve">, R., </w:t>
      </w:r>
      <w:proofErr w:type="spellStart"/>
      <w:r w:rsidRPr="002F7029">
        <w:rPr>
          <w:rFonts w:ascii="Times New Roman" w:eastAsia="Times New Roman" w:hAnsi="Times New Roman" w:cs="Times New Roman"/>
          <w:bCs/>
          <w:color w:val="000000" w:themeColor="text1"/>
          <w:sz w:val="17"/>
          <w:szCs w:val="17"/>
          <w:lang w:val="en-IN"/>
        </w:rPr>
        <w:t>Feugey</w:t>
      </w:r>
      <w:proofErr w:type="spellEnd"/>
      <w:r w:rsidRPr="002F7029">
        <w:rPr>
          <w:rFonts w:ascii="Times New Roman" w:eastAsia="Times New Roman" w:hAnsi="Times New Roman" w:cs="Times New Roman"/>
          <w:bCs/>
          <w:color w:val="000000" w:themeColor="text1"/>
          <w:sz w:val="17"/>
          <w:szCs w:val="17"/>
          <w:lang w:val="en-IN"/>
        </w:rPr>
        <w:t xml:space="preserve">, L., Aubourg, S., Celton, J.-M., </w:t>
      </w:r>
      <w:proofErr w:type="spellStart"/>
      <w:r w:rsidRPr="002F7029">
        <w:rPr>
          <w:rFonts w:ascii="Times New Roman" w:eastAsia="Times New Roman" w:hAnsi="Times New Roman" w:cs="Times New Roman"/>
          <w:bCs/>
          <w:color w:val="000000" w:themeColor="text1"/>
          <w:sz w:val="17"/>
          <w:szCs w:val="17"/>
          <w:lang w:val="en-IN"/>
        </w:rPr>
        <w:t>Daccord</w:t>
      </w:r>
      <w:proofErr w:type="spellEnd"/>
      <w:r w:rsidRPr="002F7029">
        <w:rPr>
          <w:rFonts w:ascii="Times New Roman" w:eastAsia="Times New Roman" w:hAnsi="Times New Roman" w:cs="Times New Roman"/>
          <w:bCs/>
          <w:color w:val="000000" w:themeColor="text1"/>
          <w:sz w:val="17"/>
          <w:szCs w:val="17"/>
          <w:lang w:val="en-IN"/>
        </w:rPr>
        <w:t xml:space="preserve">, N., </w:t>
      </w:r>
      <w:proofErr w:type="spellStart"/>
      <w:r w:rsidRPr="002F7029">
        <w:rPr>
          <w:rFonts w:ascii="Times New Roman" w:eastAsia="Times New Roman" w:hAnsi="Times New Roman" w:cs="Times New Roman"/>
          <w:bCs/>
          <w:color w:val="000000" w:themeColor="text1"/>
          <w:sz w:val="17"/>
          <w:szCs w:val="17"/>
          <w:lang w:val="en-IN"/>
        </w:rPr>
        <w:t>Dondini</w:t>
      </w:r>
      <w:proofErr w:type="spellEnd"/>
      <w:r w:rsidRPr="002F7029">
        <w:rPr>
          <w:rFonts w:ascii="Times New Roman" w:eastAsia="Times New Roman" w:hAnsi="Times New Roman" w:cs="Times New Roman"/>
          <w:bCs/>
          <w:color w:val="000000" w:themeColor="text1"/>
          <w:sz w:val="17"/>
          <w:szCs w:val="17"/>
          <w:lang w:val="en-IN"/>
        </w:rPr>
        <w:t xml:space="preserve">, L., Gregori, R., </w:t>
      </w:r>
      <w:proofErr w:type="spellStart"/>
      <w:r w:rsidRPr="002F7029">
        <w:rPr>
          <w:rFonts w:ascii="Times New Roman" w:eastAsia="Times New Roman" w:hAnsi="Times New Roman" w:cs="Times New Roman"/>
          <w:bCs/>
          <w:color w:val="000000" w:themeColor="text1"/>
          <w:sz w:val="17"/>
          <w:szCs w:val="17"/>
          <w:lang w:val="en-IN"/>
        </w:rPr>
        <w:t>Lateur</w:t>
      </w:r>
      <w:proofErr w:type="spellEnd"/>
      <w:r w:rsidRPr="002F7029">
        <w:rPr>
          <w:rFonts w:ascii="Times New Roman" w:eastAsia="Times New Roman" w:hAnsi="Times New Roman" w:cs="Times New Roman"/>
          <w:bCs/>
          <w:color w:val="000000" w:themeColor="text1"/>
          <w:sz w:val="17"/>
          <w:szCs w:val="17"/>
          <w:lang w:val="en-IN"/>
        </w:rPr>
        <w:t xml:space="preserve">, M., Houben, P., </w:t>
      </w:r>
      <w:proofErr w:type="spellStart"/>
      <w:r w:rsidRPr="002F7029">
        <w:rPr>
          <w:rFonts w:ascii="Times New Roman" w:eastAsia="Times New Roman" w:hAnsi="Times New Roman" w:cs="Times New Roman"/>
          <w:bCs/>
          <w:color w:val="000000" w:themeColor="text1"/>
          <w:sz w:val="17"/>
          <w:szCs w:val="17"/>
          <w:lang w:val="en-IN"/>
        </w:rPr>
        <w:t>Ordidge</w:t>
      </w:r>
      <w:proofErr w:type="spellEnd"/>
      <w:r w:rsidRPr="002F7029">
        <w:rPr>
          <w:rFonts w:ascii="Times New Roman" w:eastAsia="Times New Roman" w:hAnsi="Times New Roman" w:cs="Times New Roman"/>
          <w:bCs/>
          <w:color w:val="000000" w:themeColor="text1"/>
          <w:sz w:val="17"/>
          <w:szCs w:val="17"/>
          <w:lang w:val="en-IN"/>
        </w:rPr>
        <w:t xml:space="preserve">, M., </w:t>
      </w:r>
      <w:proofErr w:type="spellStart"/>
      <w:r w:rsidRPr="002F7029">
        <w:rPr>
          <w:rFonts w:ascii="Times New Roman" w:eastAsia="Times New Roman" w:hAnsi="Times New Roman" w:cs="Times New Roman"/>
          <w:bCs/>
          <w:color w:val="000000" w:themeColor="text1"/>
          <w:sz w:val="17"/>
          <w:szCs w:val="17"/>
          <w:lang w:val="en-IN"/>
        </w:rPr>
        <w:t>Paprstein</w:t>
      </w:r>
      <w:proofErr w:type="spellEnd"/>
      <w:r w:rsidRPr="002F7029">
        <w:rPr>
          <w:rFonts w:ascii="Times New Roman" w:eastAsia="Times New Roman" w:hAnsi="Times New Roman" w:cs="Times New Roman"/>
          <w:bCs/>
          <w:color w:val="000000" w:themeColor="text1"/>
          <w:sz w:val="17"/>
          <w:szCs w:val="17"/>
          <w:lang w:val="en-IN"/>
        </w:rPr>
        <w:t xml:space="preserve">, F., Sedlak, J., </w:t>
      </w:r>
      <w:proofErr w:type="spellStart"/>
      <w:r w:rsidRPr="002F7029">
        <w:rPr>
          <w:rFonts w:ascii="Times New Roman" w:eastAsia="Times New Roman" w:hAnsi="Times New Roman" w:cs="Times New Roman"/>
          <w:bCs/>
          <w:color w:val="000000" w:themeColor="text1"/>
          <w:sz w:val="17"/>
          <w:szCs w:val="17"/>
          <w:lang w:val="en-IN"/>
        </w:rPr>
        <w:t>Nybom</w:t>
      </w:r>
      <w:proofErr w:type="spellEnd"/>
      <w:r w:rsidRPr="002F7029">
        <w:rPr>
          <w:rFonts w:ascii="Times New Roman" w:eastAsia="Times New Roman" w:hAnsi="Times New Roman" w:cs="Times New Roman"/>
          <w:bCs/>
          <w:color w:val="000000" w:themeColor="text1"/>
          <w:sz w:val="17"/>
          <w:szCs w:val="17"/>
          <w:lang w:val="en-IN"/>
        </w:rPr>
        <w:t xml:space="preserve">, H., . . . Durel, C.-E. (2017). Genome-wide association mapping of flowering and ripening periods in apple. </w:t>
      </w:r>
      <w:r w:rsidRPr="002F7029">
        <w:rPr>
          <w:rFonts w:ascii="Times New Roman" w:eastAsia="Times New Roman" w:hAnsi="Times New Roman" w:cs="Times New Roman"/>
          <w:bCs/>
          <w:i/>
          <w:iCs/>
          <w:color w:val="000000" w:themeColor="text1"/>
          <w:sz w:val="17"/>
          <w:szCs w:val="17"/>
          <w:lang w:val="en-IN"/>
        </w:rPr>
        <w:t>Frontiers in Plant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8</w:t>
      </w:r>
      <w:r w:rsidRPr="002F7029">
        <w:rPr>
          <w:rFonts w:ascii="Times New Roman" w:eastAsia="Times New Roman" w:hAnsi="Times New Roman" w:cs="Times New Roman"/>
          <w:bCs/>
          <w:color w:val="000000" w:themeColor="text1"/>
          <w:sz w:val="17"/>
          <w:szCs w:val="17"/>
          <w:lang w:val="en-IN"/>
        </w:rPr>
        <w:t xml:space="preserve">, Article 1923. </w:t>
      </w:r>
      <w:hyperlink r:id="rId170">
        <w:r w:rsidRPr="002F7029">
          <w:rPr>
            <w:rStyle w:val="Hyperlink"/>
            <w:rFonts w:ascii="Times New Roman" w:eastAsia="Times New Roman" w:hAnsi="Times New Roman" w:cs="Times New Roman"/>
            <w:bCs/>
            <w:color w:val="000000" w:themeColor="text1"/>
            <w:sz w:val="17"/>
            <w:szCs w:val="17"/>
            <w:u w:val="none"/>
            <w:lang w:val="en-IN"/>
          </w:rPr>
          <w:t>https://doi.org/10.3389/fpls.2017.01923</w:t>
        </w:r>
      </w:hyperlink>
    </w:p>
    <w:p w14:paraId="5B18EACB"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van Leeuwen, C., Schultz, H. R., Garcia de Cortazar-</w:t>
      </w:r>
      <w:proofErr w:type="spellStart"/>
      <w:r w:rsidRPr="002F7029">
        <w:rPr>
          <w:rFonts w:ascii="Times New Roman" w:eastAsia="Times New Roman" w:hAnsi="Times New Roman" w:cs="Times New Roman"/>
          <w:bCs/>
          <w:color w:val="000000" w:themeColor="text1"/>
          <w:sz w:val="17"/>
          <w:szCs w:val="17"/>
          <w:lang w:val="en-IN"/>
        </w:rPr>
        <w:t>Atauri</w:t>
      </w:r>
      <w:proofErr w:type="spellEnd"/>
      <w:r w:rsidRPr="002F7029">
        <w:rPr>
          <w:rFonts w:ascii="Times New Roman" w:eastAsia="Times New Roman" w:hAnsi="Times New Roman" w:cs="Times New Roman"/>
          <w:bCs/>
          <w:color w:val="000000" w:themeColor="text1"/>
          <w:sz w:val="17"/>
          <w:szCs w:val="17"/>
          <w:lang w:val="en-IN"/>
        </w:rPr>
        <w:t xml:space="preserve">, I., Duchêne, E., Ollat, N., Pieri, P., Bois, B., </w:t>
      </w:r>
      <w:proofErr w:type="spellStart"/>
      <w:r w:rsidRPr="002F7029">
        <w:rPr>
          <w:rFonts w:ascii="Times New Roman" w:eastAsia="Times New Roman" w:hAnsi="Times New Roman" w:cs="Times New Roman"/>
          <w:bCs/>
          <w:color w:val="000000" w:themeColor="text1"/>
          <w:sz w:val="17"/>
          <w:szCs w:val="17"/>
          <w:lang w:val="en-IN"/>
        </w:rPr>
        <w:t>Goutouly</w:t>
      </w:r>
      <w:proofErr w:type="spellEnd"/>
      <w:r w:rsidRPr="002F7029">
        <w:rPr>
          <w:rFonts w:ascii="Times New Roman" w:eastAsia="Times New Roman" w:hAnsi="Times New Roman" w:cs="Times New Roman"/>
          <w:bCs/>
          <w:color w:val="000000" w:themeColor="text1"/>
          <w:sz w:val="17"/>
          <w:szCs w:val="17"/>
          <w:lang w:val="en-IN"/>
        </w:rPr>
        <w:t xml:space="preserve">, J.-P., </w:t>
      </w:r>
      <w:proofErr w:type="spellStart"/>
      <w:r w:rsidRPr="002F7029">
        <w:rPr>
          <w:rFonts w:ascii="Times New Roman" w:eastAsia="Times New Roman" w:hAnsi="Times New Roman" w:cs="Times New Roman"/>
          <w:bCs/>
          <w:color w:val="000000" w:themeColor="text1"/>
          <w:sz w:val="17"/>
          <w:szCs w:val="17"/>
          <w:lang w:val="en-IN"/>
        </w:rPr>
        <w:t>Quénol</w:t>
      </w:r>
      <w:proofErr w:type="spellEnd"/>
      <w:r w:rsidRPr="002F7029">
        <w:rPr>
          <w:rFonts w:ascii="Times New Roman" w:eastAsia="Times New Roman" w:hAnsi="Times New Roman" w:cs="Times New Roman"/>
          <w:bCs/>
          <w:color w:val="000000" w:themeColor="text1"/>
          <w:sz w:val="17"/>
          <w:szCs w:val="17"/>
          <w:lang w:val="en-IN"/>
        </w:rPr>
        <w:t xml:space="preserve">, H., Touzard, J.-M., Malheiro, A. C., </w:t>
      </w:r>
      <w:proofErr w:type="spellStart"/>
      <w:r w:rsidRPr="002F7029">
        <w:rPr>
          <w:rFonts w:ascii="Times New Roman" w:eastAsia="Times New Roman" w:hAnsi="Times New Roman" w:cs="Times New Roman"/>
          <w:bCs/>
          <w:color w:val="000000" w:themeColor="text1"/>
          <w:sz w:val="17"/>
          <w:szCs w:val="17"/>
          <w:lang w:val="en-IN"/>
        </w:rPr>
        <w:t>Bavaresco</w:t>
      </w:r>
      <w:proofErr w:type="spellEnd"/>
      <w:r w:rsidRPr="002F7029">
        <w:rPr>
          <w:rFonts w:ascii="Times New Roman" w:eastAsia="Times New Roman" w:hAnsi="Times New Roman" w:cs="Times New Roman"/>
          <w:bCs/>
          <w:color w:val="000000" w:themeColor="text1"/>
          <w:sz w:val="17"/>
          <w:szCs w:val="17"/>
          <w:lang w:val="en-IN"/>
        </w:rPr>
        <w:t xml:space="preserve">, L., &amp; </w:t>
      </w:r>
      <w:proofErr w:type="spellStart"/>
      <w:r w:rsidRPr="002F7029">
        <w:rPr>
          <w:rFonts w:ascii="Times New Roman" w:eastAsia="Times New Roman" w:hAnsi="Times New Roman" w:cs="Times New Roman"/>
          <w:bCs/>
          <w:color w:val="000000" w:themeColor="text1"/>
          <w:sz w:val="17"/>
          <w:szCs w:val="17"/>
          <w:lang w:val="en-IN"/>
        </w:rPr>
        <w:t>Delrot</w:t>
      </w:r>
      <w:proofErr w:type="spellEnd"/>
      <w:r w:rsidRPr="002F7029">
        <w:rPr>
          <w:rFonts w:ascii="Times New Roman" w:eastAsia="Times New Roman" w:hAnsi="Times New Roman" w:cs="Times New Roman"/>
          <w:bCs/>
          <w:color w:val="000000" w:themeColor="text1"/>
          <w:sz w:val="17"/>
          <w:szCs w:val="17"/>
          <w:lang w:val="en-IN"/>
        </w:rPr>
        <w:t xml:space="preserve">, S. (2013). Why climate change will not dramatically decrease viticultural suitability in main wine-producing areas by 2050. </w:t>
      </w:r>
      <w:r w:rsidRPr="002F7029">
        <w:rPr>
          <w:rFonts w:ascii="Times New Roman" w:eastAsia="Times New Roman" w:hAnsi="Times New Roman" w:cs="Times New Roman"/>
          <w:bCs/>
          <w:i/>
          <w:iCs/>
          <w:color w:val="000000" w:themeColor="text1"/>
          <w:sz w:val="17"/>
          <w:szCs w:val="17"/>
          <w:lang w:val="en-IN"/>
        </w:rPr>
        <w:t>Proceedings of the National Academy of Sciences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110</w:t>
      </w:r>
      <w:r w:rsidRPr="002F7029">
        <w:rPr>
          <w:rFonts w:ascii="Times New Roman" w:eastAsia="Times New Roman" w:hAnsi="Times New Roman" w:cs="Times New Roman"/>
          <w:bCs/>
          <w:color w:val="000000" w:themeColor="text1"/>
          <w:sz w:val="17"/>
          <w:szCs w:val="17"/>
          <w:lang w:val="en-IN"/>
        </w:rPr>
        <w:t xml:space="preserve">(33), E3051–E3052. </w:t>
      </w:r>
      <w:hyperlink r:id="rId171">
        <w:r w:rsidRPr="002F7029">
          <w:rPr>
            <w:rStyle w:val="Hyperlink"/>
            <w:rFonts w:ascii="Times New Roman" w:eastAsia="Times New Roman" w:hAnsi="Times New Roman" w:cs="Times New Roman"/>
            <w:bCs/>
            <w:color w:val="000000" w:themeColor="text1"/>
            <w:sz w:val="17"/>
            <w:szCs w:val="17"/>
            <w:u w:val="none"/>
            <w:lang w:val="en-IN"/>
          </w:rPr>
          <w:t>https://doi.org/10.1073/pnas.1307927110</w:t>
        </w:r>
      </w:hyperlink>
    </w:p>
    <w:p w14:paraId="65F44DF4"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nl-BE"/>
        </w:rPr>
        <w:t xml:space="preserve">van Leeuwen, C., Sgubin, G., Bois, B., Ollat, N., Swingedouw, D., Zito, S., &amp; Gambetta, G. A. (2024). </w:t>
      </w:r>
      <w:r w:rsidRPr="002F7029">
        <w:rPr>
          <w:rFonts w:ascii="Times New Roman" w:eastAsia="Times New Roman" w:hAnsi="Times New Roman" w:cs="Times New Roman"/>
          <w:bCs/>
          <w:color w:val="000000" w:themeColor="text1"/>
          <w:sz w:val="17"/>
          <w:szCs w:val="17"/>
          <w:lang w:val="en-IN"/>
        </w:rPr>
        <w:t xml:space="preserve">Climate change impacts and adaptations of wine production. </w:t>
      </w:r>
      <w:r w:rsidRPr="002F7029">
        <w:rPr>
          <w:rFonts w:ascii="Times New Roman" w:eastAsia="Times New Roman" w:hAnsi="Times New Roman" w:cs="Times New Roman"/>
          <w:bCs/>
          <w:i/>
          <w:iCs/>
          <w:color w:val="000000" w:themeColor="text1"/>
          <w:sz w:val="17"/>
          <w:szCs w:val="17"/>
          <w:lang w:val="en-IN"/>
        </w:rPr>
        <w:t>Nature Reviews Earth &amp; Environment</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5</w:t>
      </w:r>
      <w:r w:rsidRPr="002F7029">
        <w:rPr>
          <w:rFonts w:ascii="Times New Roman" w:eastAsia="Times New Roman" w:hAnsi="Times New Roman" w:cs="Times New Roman"/>
          <w:bCs/>
          <w:color w:val="000000" w:themeColor="text1"/>
          <w:sz w:val="17"/>
          <w:szCs w:val="17"/>
          <w:lang w:val="en-IN"/>
        </w:rPr>
        <w:t xml:space="preserve">(4), 258–275. </w:t>
      </w:r>
      <w:hyperlink r:id="rId172">
        <w:r w:rsidRPr="002F7029">
          <w:rPr>
            <w:rStyle w:val="Hyperlink"/>
            <w:rFonts w:ascii="Times New Roman" w:eastAsia="Times New Roman" w:hAnsi="Times New Roman" w:cs="Times New Roman"/>
            <w:bCs/>
            <w:color w:val="000000" w:themeColor="text1"/>
            <w:sz w:val="17"/>
            <w:szCs w:val="17"/>
            <w:u w:val="none"/>
            <w:lang w:val="en-IN"/>
          </w:rPr>
          <w:t>https://doi.org/10.1038/s43017-024-00521-5</w:t>
        </w:r>
      </w:hyperlink>
    </w:p>
    <w:p w14:paraId="685F6C2B"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Velasco, R., </w:t>
      </w:r>
      <w:proofErr w:type="spellStart"/>
      <w:r w:rsidRPr="002F7029">
        <w:rPr>
          <w:rFonts w:ascii="Times New Roman" w:eastAsia="Times New Roman" w:hAnsi="Times New Roman" w:cs="Times New Roman"/>
          <w:bCs/>
          <w:color w:val="000000" w:themeColor="text1"/>
          <w:sz w:val="17"/>
          <w:szCs w:val="17"/>
          <w:lang w:val="en-IN"/>
        </w:rPr>
        <w:t>Zharkikh</w:t>
      </w:r>
      <w:proofErr w:type="spellEnd"/>
      <w:r w:rsidRPr="002F7029">
        <w:rPr>
          <w:rFonts w:ascii="Times New Roman" w:eastAsia="Times New Roman" w:hAnsi="Times New Roman" w:cs="Times New Roman"/>
          <w:bCs/>
          <w:color w:val="000000" w:themeColor="text1"/>
          <w:sz w:val="17"/>
          <w:szCs w:val="17"/>
          <w:lang w:val="en-IN"/>
        </w:rPr>
        <w:t xml:space="preserve">, A., </w:t>
      </w:r>
      <w:proofErr w:type="spellStart"/>
      <w:r w:rsidRPr="002F7029">
        <w:rPr>
          <w:rFonts w:ascii="Times New Roman" w:eastAsia="Times New Roman" w:hAnsi="Times New Roman" w:cs="Times New Roman"/>
          <w:bCs/>
          <w:color w:val="000000" w:themeColor="text1"/>
          <w:sz w:val="17"/>
          <w:szCs w:val="17"/>
          <w:lang w:val="en-IN"/>
        </w:rPr>
        <w:t>Affourtit</w:t>
      </w:r>
      <w:proofErr w:type="spellEnd"/>
      <w:r w:rsidRPr="002F7029">
        <w:rPr>
          <w:rFonts w:ascii="Times New Roman" w:eastAsia="Times New Roman" w:hAnsi="Times New Roman" w:cs="Times New Roman"/>
          <w:bCs/>
          <w:color w:val="000000" w:themeColor="text1"/>
          <w:sz w:val="17"/>
          <w:szCs w:val="17"/>
          <w:lang w:val="en-IN"/>
        </w:rPr>
        <w:t xml:space="preserve">, J., Dhingra, A., Cestaro, A., Kalyanaraman, A., Fontana, P., Bhatnagar, S. K., </w:t>
      </w:r>
      <w:proofErr w:type="spellStart"/>
      <w:r w:rsidRPr="002F7029">
        <w:rPr>
          <w:rFonts w:ascii="Times New Roman" w:eastAsia="Times New Roman" w:hAnsi="Times New Roman" w:cs="Times New Roman"/>
          <w:bCs/>
          <w:color w:val="000000" w:themeColor="text1"/>
          <w:sz w:val="17"/>
          <w:szCs w:val="17"/>
          <w:lang w:val="en-IN"/>
        </w:rPr>
        <w:t>Troggio</w:t>
      </w:r>
      <w:proofErr w:type="spellEnd"/>
      <w:r w:rsidRPr="002F7029">
        <w:rPr>
          <w:rFonts w:ascii="Times New Roman" w:eastAsia="Times New Roman" w:hAnsi="Times New Roman" w:cs="Times New Roman"/>
          <w:bCs/>
          <w:color w:val="000000" w:themeColor="text1"/>
          <w:sz w:val="17"/>
          <w:szCs w:val="17"/>
          <w:lang w:val="en-IN"/>
        </w:rPr>
        <w:t xml:space="preserve">, M., Pruss, D., Salvi, S., </w:t>
      </w:r>
      <w:proofErr w:type="spellStart"/>
      <w:r w:rsidRPr="002F7029">
        <w:rPr>
          <w:rFonts w:ascii="Times New Roman" w:eastAsia="Times New Roman" w:hAnsi="Times New Roman" w:cs="Times New Roman"/>
          <w:bCs/>
          <w:color w:val="000000" w:themeColor="text1"/>
          <w:sz w:val="17"/>
          <w:szCs w:val="17"/>
          <w:lang w:val="en-IN"/>
        </w:rPr>
        <w:t>Pindo</w:t>
      </w:r>
      <w:proofErr w:type="spellEnd"/>
      <w:r w:rsidRPr="002F7029">
        <w:rPr>
          <w:rFonts w:ascii="Times New Roman" w:eastAsia="Times New Roman" w:hAnsi="Times New Roman" w:cs="Times New Roman"/>
          <w:bCs/>
          <w:color w:val="000000" w:themeColor="text1"/>
          <w:sz w:val="17"/>
          <w:szCs w:val="17"/>
          <w:lang w:val="en-IN"/>
        </w:rPr>
        <w:t xml:space="preserve">, M., Baldi, P., Castelletti, S., </w:t>
      </w:r>
      <w:proofErr w:type="spellStart"/>
      <w:r w:rsidRPr="002F7029">
        <w:rPr>
          <w:rFonts w:ascii="Times New Roman" w:eastAsia="Times New Roman" w:hAnsi="Times New Roman" w:cs="Times New Roman"/>
          <w:bCs/>
          <w:color w:val="000000" w:themeColor="text1"/>
          <w:sz w:val="17"/>
          <w:szCs w:val="17"/>
          <w:lang w:val="en-IN"/>
        </w:rPr>
        <w:t>Cavaiuolo</w:t>
      </w:r>
      <w:proofErr w:type="spellEnd"/>
      <w:r w:rsidRPr="002F7029">
        <w:rPr>
          <w:rFonts w:ascii="Times New Roman" w:eastAsia="Times New Roman" w:hAnsi="Times New Roman" w:cs="Times New Roman"/>
          <w:bCs/>
          <w:color w:val="000000" w:themeColor="text1"/>
          <w:sz w:val="17"/>
          <w:szCs w:val="17"/>
          <w:lang w:val="en-IN"/>
        </w:rPr>
        <w:t>, M., Coppola, G., Costa, F., Cova, V., Dal Ri, A., . . . Viola, R. (2010). The genome of the domesticated apple (</w:t>
      </w:r>
      <w:r w:rsidRPr="002F7029">
        <w:rPr>
          <w:rFonts w:ascii="Times New Roman" w:eastAsia="Times New Roman" w:hAnsi="Times New Roman" w:cs="Times New Roman"/>
          <w:bCs/>
          <w:i/>
          <w:iCs/>
          <w:color w:val="000000" w:themeColor="text1"/>
          <w:sz w:val="17"/>
          <w:szCs w:val="17"/>
          <w:lang w:val="en-IN"/>
        </w:rPr>
        <w:t>Malus</w:t>
      </w:r>
      <w:r w:rsidRPr="002F7029">
        <w:rPr>
          <w:rFonts w:ascii="Times New Roman" w:eastAsia="Times New Roman" w:hAnsi="Times New Roman" w:cs="Times New Roman"/>
          <w:bCs/>
          <w:color w:val="000000" w:themeColor="text1"/>
          <w:sz w:val="17"/>
          <w:szCs w:val="17"/>
          <w:lang w:val="en-IN"/>
        </w:rPr>
        <w:t xml:space="preserve"> × </w:t>
      </w:r>
      <w:r w:rsidRPr="002F7029">
        <w:rPr>
          <w:rFonts w:ascii="Times New Roman" w:eastAsia="Times New Roman" w:hAnsi="Times New Roman" w:cs="Times New Roman"/>
          <w:bCs/>
          <w:i/>
          <w:iCs/>
          <w:color w:val="000000" w:themeColor="text1"/>
          <w:sz w:val="17"/>
          <w:szCs w:val="17"/>
          <w:lang w:val="en-IN"/>
        </w:rPr>
        <w:t>domestica</w:t>
      </w:r>
      <w:r w:rsidRPr="002F7029">
        <w:rPr>
          <w:rFonts w:ascii="Times New Roman" w:eastAsia="Times New Roman" w:hAnsi="Times New Roman" w:cs="Times New Roman"/>
          <w:bCs/>
          <w:color w:val="000000" w:themeColor="text1"/>
          <w:sz w:val="17"/>
          <w:szCs w:val="17"/>
          <w:lang w:val="en-IN"/>
        </w:rPr>
        <w:t xml:space="preserve"> Borkh.). </w:t>
      </w:r>
      <w:r w:rsidRPr="002F7029">
        <w:rPr>
          <w:rFonts w:ascii="Times New Roman" w:eastAsia="Times New Roman" w:hAnsi="Times New Roman" w:cs="Times New Roman"/>
          <w:bCs/>
          <w:i/>
          <w:iCs/>
          <w:color w:val="000000" w:themeColor="text1"/>
          <w:sz w:val="17"/>
          <w:szCs w:val="17"/>
          <w:lang w:val="en-IN"/>
        </w:rPr>
        <w:t>Nature Genetics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42</w:t>
      </w:r>
      <w:r w:rsidRPr="002F7029">
        <w:rPr>
          <w:rFonts w:ascii="Times New Roman" w:eastAsia="Times New Roman" w:hAnsi="Times New Roman" w:cs="Times New Roman"/>
          <w:bCs/>
          <w:color w:val="000000" w:themeColor="text1"/>
          <w:sz w:val="17"/>
          <w:szCs w:val="17"/>
          <w:lang w:val="en-IN"/>
        </w:rPr>
        <w:t xml:space="preserve">(10), 833–839. </w:t>
      </w:r>
      <w:hyperlink r:id="rId173">
        <w:r w:rsidRPr="002F7029">
          <w:rPr>
            <w:rStyle w:val="Hyperlink"/>
            <w:rFonts w:ascii="Times New Roman" w:eastAsia="Times New Roman" w:hAnsi="Times New Roman" w:cs="Times New Roman"/>
            <w:bCs/>
            <w:color w:val="000000" w:themeColor="text1"/>
            <w:sz w:val="17"/>
            <w:szCs w:val="17"/>
            <w:u w:val="none"/>
            <w:lang w:val="en-IN"/>
          </w:rPr>
          <w:t>https://doi.org/10.1038/ng.654</w:t>
        </w:r>
      </w:hyperlink>
    </w:p>
    <w:p w14:paraId="2FC5A85B"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Venios</w:t>
      </w:r>
      <w:proofErr w:type="spellEnd"/>
      <w:r w:rsidRPr="002F7029">
        <w:rPr>
          <w:rFonts w:ascii="Times New Roman" w:eastAsia="Times New Roman" w:hAnsi="Times New Roman" w:cs="Times New Roman"/>
          <w:bCs/>
          <w:color w:val="000000" w:themeColor="text1"/>
          <w:sz w:val="17"/>
          <w:szCs w:val="17"/>
          <w:lang w:val="en-IN"/>
        </w:rPr>
        <w:t xml:space="preserve">, X., Korkas, E., </w:t>
      </w:r>
      <w:proofErr w:type="spellStart"/>
      <w:r w:rsidRPr="002F7029">
        <w:rPr>
          <w:rFonts w:ascii="Times New Roman" w:eastAsia="Times New Roman" w:hAnsi="Times New Roman" w:cs="Times New Roman"/>
          <w:bCs/>
          <w:color w:val="000000" w:themeColor="text1"/>
          <w:sz w:val="17"/>
          <w:szCs w:val="17"/>
          <w:lang w:val="en-IN"/>
        </w:rPr>
        <w:t>Nisiotou</w:t>
      </w:r>
      <w:proofErr w:type="spellEnd"/>
      <w:r w:rsidRPr="002F7029">
        <w:rPr>
          <w:rFonts w:ascii="Times New Roman" w:eastAsia="Times New Roman" w:hAnsi="Times New Roman" w:cs="Times New Roman"/>
          <w:bCs/>
          <w:color w:val="000000" w:themeColor="text1"/>
          <w:sz w:val="17"/>
          <w:szCs w:val="17"/>
          <w:lang w:val="en-IN"/>
        </w:rPr>
        <w:t xml:space="preserve">, A., &amp; </w:t>
      </w:r>
      <w:proofErr w:type="spellStart"/>
      <w:r w:rsidRPr="002F7029">
        <w:rPr>
          <w:rFonts w:ascii="Times New Roman" w:eastAsia="Times New Roman" w:hAnsi="Times New Roman" w:cs="Times New Roman"/>
          <w:bCs/>
          <w:color w:val="000000" w:themeColor="text1"/>
          <w:sz w:val="17"/>
          <w:szCs w:val="17"/>
          <w:lang w:val="en-IN"/>
        </w:rPr>
        <w:t>Banilas</w:t>
      </w:r>
      <w:proofErr w:type="spellEnd"/>
      <w:r w:rsidRPr="002F7029">
        <w:rPr>
          <w:rFonts w:ascii="Times New Roman" w:eastAsia="Times New Roman" w:hAnsi="Times New Roman" w:cs="Times New Roman"/>
          <w:bCs/>
          <w:color w:val="000000" w:themeColor="text1"/>
          <w:sz w:val="17"/>
          <w:szCs w:val="17"/>
          <w:lang w:val="en-IN"/>
        </w:rPr>
        <w:t xml:space="preserve">, G. (2020). Grapevine responses to heat stress and global warming. </w:t>
      </w:r>
      <w:r w:rsidRPr="002F7029">
        <w:rPr>
          <w:rFonts w:ascii="Times New Roman" w:eastAsia="Times New Roman" w:hAnsi="Times New Roman" w:cs="Times New Roman"/>
          <w:bCs/>
          <w:i/>
          <w:iCs/>
          <w:color w:val="000000" w:themeColor="text1"/>
          <w:sz w:val="17"/>
          <w:szCs w:val="17"/>
          <w:lang w:val="en-IN"/>
        </w:rPr>
        <w:t>Plants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9</w:t>
      </w:r>
      <w:r w:rsidRPr="002F7029">
        <w:rPr>
          <w:rFonts w:ascii="Times New Roman" w:eastAsia="Times New Roman" w:hAnsi="Times New Roman" w:cs="Times New Roman"/>
          <w:bCs/>
          <w:color w:val="000000" w:themeColor="text1"/>
          <w:sz w:val="17"/>
          <w:szCs w:val="17"/>
          <w:lang w:val="en-IN"/>
        </w:rPr>
        <w:t xml:space="preserve">(12), Article 1754. </w:t>
      </w:r>
      <w:hyperlink r:id="rId174">
        <w:r w:rsidRPr="002F7029">
          <w:rPr>
            <w:rStyle w:val="Hyperlink"/>
            <w:rFonts w:ascii="Times New Roman" w:eastAsia="Times New Roman" w:hAnsi="Times New Roman" w:cs="Times New Roman"/>
            <w:bCs/>
            <w:color w:val="000000" w:themeColor="text1"/>
            <w:sz w:val="17"/>
            <w:szCs w:val="17"/>
            <w:u w:val="none"/>
            <w:lang w:val="en-IN"/>
          </w:rPr>
          <w:t>https://doi.org/10.3390/plants9121754</w:t>
        </w:r>
      </w:hyperlink>
    </w:p>
    <w:p w14:paraId="4CD872C4"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Vitasse</w:t>
      </w:r>
      <w:proofErr w:type="spellEnd"/>
      <w:r w:rsidRPr="002F7029">
        <w:rPr>
          <w:rFonts w:ascii="Times New Roman" w:eastAsia="Times New Roman" w:hAnsi="Times New Roman" w:cs="Times New Roman"/>
          <w:bCs/>
          <w:color w:val="000000" w:themeColor="text1"/>
          <w:sz w:val="17"/>
          <w:szCs w:val="17"/>
          <w:lang w:val="en-IN"/>
        </w:rPr>
        <w:t xml:space="preserve">, Y., Lenz, A., &amp; Körner, C. (2014). The interaction between freezing tolerance and phenology in temperate deciduous trees. </w:t>
      </w:r>
      <w:r w:rsidRPr="002F7029">
        <w:rPr>
          <w:rFonts w:ascii="Times New Roman" w:eastAsia="Times New Roman" w:hAnsi="Times New Roman" w:cs="Times New Roman"/>
          <w:bCs/>
          <w:i/>
          <w:iCs/>
          <w:color w:val="000000" w:themeColor="text1"/>
          <w:sz w:val="17"/>
          <w:szCs w:val="17"/>
          <w:lang w:val="en-IN"/>
        </w:rPr>
        <w:t>Frontiers in Plant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5</w:t>
      </w:r>
      <w:r w:rsidRPr="002F7029">
        <w:rPr>
          <w:rFonts w:ascii="Times New Roman" w:eastAsia="Times New Roman" w:hAnsi="Times New Roman" w:cs="Times New Roman"/>
          <w:bCs/>
          <w:color w:val="000000" w:themeColor="text1"/>
          <w:sz w:val="17"/>
          <w:szCs w:val="17"/>
          <w:lang w:val="en-IN"/>
        </w:rPr>
        <w:t xml:space="preserve">, Article 541. </w:t>
      </w:r>
      <w:hyperlink r:id="rId175">
        <w:r w:rsidRPr="002F7029">
          <w:rPr>
            <w:rStyle w:val="Hyperlink"/>
            <w:rFonts w:ascii="Times New Roman" w:eastAsia="Times New Roman" w:hAnsi="Times New Roman" w:cs="Times New Roman"/>
            <w:bCs/>
            <w:color w:val="000000" w:themeColor="text1"/>
            <w:sz w:val="17"/>
            <w:szCs w:val="17"/>
            <w:u w:val="none"/>
            <w:lang w:val="en-IN"/>
          </w:rPr>
          <w:t>https://doi.org/10.3389/fpls.2014.00541</w:t>
        </w:r>
      </w:hyperlink>
    </w:p>
    <w:p w14:paraId="26B79C86"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Vitasse</w:t>
      </w:r>
      <w:proofErr w:type="spellEnd"/>
      <w:r w:rsidRPr="002F7029">
        <w:rPr>
          <w:rFonts w:ascii="Times New Roman" w:eastAsia="Times New Roman" w:hAnsi="Times New Roman" w:cs="Times New Roman"/>
          <w:bCs/>
          <w:color w:val="000000" w:themeColor="text1"/>
          <w:sz w:val="17"/>
          <w:szCs w:val="17"/>
          <w:lang w:val="en-IN"/>
        </w:rPr>
        <w:t xml:space="preserve">, Y., &amp; </w:t>
      </w:r>
      <w:proofErr w:type="spellStart"/>
      <w:r w:rsidRPr="002F7029">
        <w:rPr>
          <w:rFonts w:ascii="Times New Roman" w:eastAsia="Times New Roman" w:hAnsi="Times New Roman" w:cs="Times New Roman"/>
          <w:bCs/>
          <w:color w:val="000000" w:themeColor="text1"/>
          <w:sz w:val="17"/>
          <w:szCs w:val="17"/>
          <w:lang w:val="en-IN"/>
        </w:rPr>
        <w:t>Rebetez</w:t>
      </w:r>
      <w:proofErr w:type="spellEnd"/>
      <w:r w:rsidRPr="002F7029">
        <w:rPr>
          <w:rFonts w:ascii="Times New Roman" w:eastAsia="Times New Roman" w:hAnsi="Times New Roman" w:cs="Times New Roman"/>
          <w:bCs/>
          <w:color w:val="000000" w:themeColor="text1"/>
          <w:sz w:val="17"/>
          <w:szCs w:val="17"/>
          <w:lang w:val="en-IN"/>
        </w:rPr>
        <w:t xml:space="preserve">, M. (2018). Unprecedented risk of spring frost damage in Switzerland and Germany in 2017. </w:t>
      </w:r>
      <w:r w:rsidRPr="002F7029">
        <w:rPr>
          <w:rFonts w:ascii="Times New Roman" w:eastAsia="Times New Roman" w:hAnsi="Times New Roman" w:cs="Times New Roman"/>
          <w:bCs/>
          <w:i/>
          <w:iCs/>
          <w:color w:val="000000" w:themeColor="text1"/>
          <w:sz w:val="17"/>
          <w:szCs w:val="17"/>
          <w:lang w:val="en-IN"/>
        </w:rPr>
        <w:t>Climatic Change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149</w:t>
      </w:r>
      <w:r w:rsidRPr="002F7029">
        <w:rPr>
          <w:rFonts w:ascii="Times New Roman" w:eastAsia="Times New Roman" w:hAnsi="Times New Roman" w:cs="Times New Roman"/>
          <w:bCs/>
          <w:color w:val="000000" w:themeColor="text1"/>
          <w:sz w:val="17"/>
          <w:szCs w:val="17"/>
          <w:lang w:val="en-IN"/>
        </w:rPr>
        <w:t xml:space="preserve">(2), 233–246. </w:t>
      </w:r>
      <w:hyperlink r:id="rId176">
        <w:r w:rsidRPr="002F7029">
          <w:rPr>
            <w:rStyle w:val="Hyperlink"/>
            <w:rFonts w:ascii="Times New Roman" w:eastAsia="Times New Roman" w:hAnsi="Times New Roman" w:cs="Times New Roman"/>
            <w:bCs/>
            <w:color w:val="000000" w:themeColor="text1"/>
            <w:sz w:val="17"/>
            <w:szCs w:val="17"/>
            <w:u w:val="none"/>
            <w:lang w:val="en-IN"/>
          </w:rPr>
          <w:t>https://doi.org/10.1007/s10584-018-2234-y</w:t>
        </w:r>
      </w:hyperlink>
    </w:p>
    <w:p w14:paraId="6CFC99EB"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Vitasse</w:t>
      </w:r>
      <w:proofErr w:type="spellEnd"/>
      <w:r w:rsidRPr="002F7029">
        <w:rPr>
          <w:rFonts w:ascii="Times New Roman" w:eastAsia="Times New Roman" w:hAnsi="Times New Roman" w:cs="Times New Roman"/>
          <w:bCs/>
          <w:color w:val="000000" w:themeColor="text1"/>
          <w:sz w:val="17"/>
          <w:szCs w:val="17"/>
          <w:lang w:val="en-IN"/>
        </w:rPr>
        <w:t xml:space="preserve">, Y., Schneider, L., Rixen, C., Christen, D., &amp; </w:t>
      </w:r>
      <w:proofErr w:type="spellStart"/>
      <w:r w:rsidRPr="002F7029">
        <w:rPr>
          <w:rFonts w:ascii="Times New Roman" w:eastAsia="Times New Roman" w:hAnsi="Times New Roman" w:cs="Times New Roman"/>
          <w:bCs/>
          <w:color w:val="000000" w:themeColor="text1"/>
          <w:sz w:val="17"/>
          <w:szCs w:val="17"/>
          <w:lang w:val="en-IN"/>
        </w:rPr>
        <w:t>Rebetez</w:t>
      </w:r>
      <w:proofErr w:type="spellEnd"/>
      <w:r w:rsidRPr="002F7029">
        <w:rPr>
          <w:rFonts w:ascii="Times New Roman" w:eastAsia="Times New Roman" w:hAnsi="Times New Roman" w:cs="Times New Roman"/>
          <w:bCs/>
          <w:color w:val="000000" w:themeColor="text1"/>
          <w:sz w:val="17"/>
          <w:szCs w:val="17"/>
          <w:lang w:val="en-IN"/>
        </w:rPr>
        <w:t xml:space="preserve">, M. (2018). Increase in the risk of exposure of forest and fruit trees to spring frosts at higher elevations in Switzerland over the last four decades. </w:t>
      </w:r>
      <w:r w:rsidRPr="002F7029">
        <w:rPr>
          <w:rFonts w:ascii="Times New Roman" w:eastAsia="Times New Roman" w:hAnsi="Times New Roman" w:cs="Times New Roman"/>
          <w:bCs/>
          <w:i/>
          <w:iCs/>
          <w:color w:val="000000" w:themeColor="text1"/>
          <w:sz w:val="17"/>
          <w:szCs w:val="17"/>
          <w:lang w:val="en-IN"/>
        </w:rPr>
        <w:t>Agricultural and Forest Meteorology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248</w:t>
      </w:r>
      <w:r w:rsidRPr="002F7029">
        <w:rPr>
          <w:rFonts w:ascii="Times New Roman" w:eastAsia="Times New Roman" w:hAnsi="Times New Roman" w:cs="Times New Roman"/>
          <w:bCs/>
          <w:color w:val="000000" w:themeColor="text1"/>
          <w:sz w:val="17"/>
          <w:szCs w:val="17"/>
          <w:lang w:val="en-IN"/>
        </w:rPr>
        <w:t xml:space="preserve">, 60–69. </w:t>
      </w:r>
      <w:hyperlink r:id="rId177">
        <w:r w:rsidRPr="002F7029">
          <w:rPr>
            <w:rStyle w:val="Hyperlink"/>
            <w:rFonts w:ascii="Times New Roman" w:eastAsia="Times New Roman" w:hAnsi="Times New Roman" w:cs="Times New Roman"/>
            <w:bCs/>
            <w:color w:val="000000" w:themeColor="text1"/>
            <w:sz w:val="17"/>
            <w:szCs w:val="17"/>
            <w:u w:val="none"/>
            <w:lang w:val="en-IN"/>
          </w:rPr>
          <w:t>https://doi.org/10.1016/j.agrformet.2017.09.005</w:t>
        </w:r>
      </w:hyperlink>
    </w:p>
    <w:p w14:paraId="31A9B306"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Vuković, M., Jurić, S., Maslov Bandić, L., Levaj, B., Fu, D.-Q., &amp; </w:t>
      </w:r>
      <w:proofErr w:type="spellStart"/>
      <w:r w:rsidRPr="002F7029">
        <w:rPr>
          <w:rFonts w:ascii="Times New Roman" w:eastAsia="Times New Roman" w:hAnsi="Times New Roman" w:cs="Times New Roman"/>
          <w:bCs/>
          <w:color w:val="000000" w:themeColor="text1"/>
          <w:sz w:val="17"/>
          <w:szCs w:val="17"/>
          <w:lang w:val="en-IN"/>
        </w:rPr>
        <w:t>Jemrić</w:t>
      </w:r>
      <w:proofErr w:type="spellEnd"/>
      <w:r w:rsidRPr="002F7029">
        <w:rPr>
          <w:rFonts w:ascii="Times New Roman" w:eastAsia="Times New Roman" w:hAnsi="Times New Roman" w:cs="Times New Roman"/>
          <w:bCs/>
          <w:color w:val="000000" w:themeColor="text1"/>
          <w:sz w:val="17"/>
          <w:szCs w:val="17"/>
          <w:lang w:val="en-IN"/>
        </w:rPr>
        <w:t xml:space="preserve">, T. (2022). Sustainable food production: Innovative netting concepts and their mode of action on fruit crops. </w:t>
      </w:r>
      <w:r w:rsidRPr="002F7029">
        <w:rPr>
          <w:rFonts w:ascii="Times New Roman" w:eastAsia="Times New Roman" w:hAnsi="Times New Roman" w:cs="Times New Roman"/>
          <w:bCs/>
          <w:i/>
          <w:iCs/>
          <w:color w:val="000000" w:themeColor="text1"/>
          <w:sz w:val="17"/>
          <w:szCs w:val="17"/>
          <w:lang w:val="en-IN"/>
        </w:rPr>
        <w:t>Sustainability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14</w:t>
      </w:r>
      <w:r w:rsidRPr="002F7029">
        <w:rPr>
          <w:rFonts w:ascii="Times New Roman" w:eastAsia="Times New Roman" w:hAnsi="Times New Roman" w:cs="Times New Roman"/>
          <w:bCs/>
          <w:color w:val="000000" w:themeColor="text1"/>
          <w:sz w:val="17"/>
          <w:szCs w:val="17"/>
          <w:lang w:val="en-IN"/>
        </w:rPr>
        <w:t xml:space="preserve">(15), Article 9264. </w:t>
      </w:r>
      <w:hyperlink r:id="rId178">
        <w:r w:rsidRPr="002F7029">
          <w:rPr>
            <w:rStyle w:val="Hyperlink"/>
            <w:rFonts w:ascii="Times New Roman" w:eastAsia="Times New Roman" w:hAnsi="Times New Roman" w:cs="Times New Roman"/>
            <w:bCs/>
            <w:color w:val="000000" w:themeColor="text1"/>
            <w:sz w:val="17"/>
            <w:szCs w:val="17"/>
            <w:u w:val="none"/>
            <w:lang w:val="en-IN"/>
          </w:rPr>
          <w:t>https://doi.org/10.3390/su14159264</w:t>
        </w:r>
      </w:hyperlink>
    </w:p>
    <w:p w14:paraId="5645C153"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nl-BE"/>
        </w:rPr>
      </w:pPr>
      <w:r w:rsidRPr="002F7029">
        <w:rPr>
          <w:rFonts w:ascii="Times New Roman" w:eastAsia="Times New Roman" w:hAnsi="Times New Roman" w:cs="Times New Roman"/>
          <w:bCs/>
          <w:color w:val="000000" w:themeColor="text1"/>
          <w:sz w:val="17"/>
          <w:szCs w:val="17"/>
          <w:lang w:val="en-IN"/>
        </w:rPr>
        <w:t xml:space="preserve">Walker, B., Holling, C. S., Carpenter, S. R., &amp; Kinzig, A. P. (2004). Resilience, adaptability and transformability in social-ecological systems. </w:t>
      </w:r>
      <w:r w:rsidRPr="002F7029">
        <w:rPr>
          <w:rFonts w:ascii="Times New Roman" w:eastAsia="Times New Roman" w:hAnsi="Times New Roman" w:cs="Times New Roman"/>
          <w:bCs/>
          <w:i/>
          <w:iCs/>
          <w:color w:val="000000" w:themeColor="text1"/>
          <w:sz w:val="17"/>
          <w:szCs w:val="17"/>
          <w:lang w:val="en-IN"/>
        </w:rPr>
        <w:t>Ecology and Society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9</w:t>
      </w:r>
      <w:r w:rsidRPr="002F7029">
        <w:rPr>
          <w:rFonts w:ascii="Times New Roman" w:eastAsia="Times New Roman" w:hAnsi="Times New Roman" w:cs="Times New Roman"/>
          <w:bCs/>
          <w:color w:val="000000" w:themeColor="text1"/>
          <w:sz w:val="17"/>
          <w:szCs w:val="17"/>
          <w:lang w:val="en-IN"/>
        </w:rPr>
        <w:t xml:space="preserve">(2), Article 5. </w:t>
      </w:r>
      <w:hyperlink r:id="rId179">
        <w:r w:rsidRPr="002F7029">
          <w:rPr>
            <w:rStyle w:val="Hyperlink"/>
            <w:rFonts w:ascii="Times New Roman" w:eastAsia="Times New Roman" w:hAnsi="Times New Roman" w:cs="Times New Roman"/>
            <w:bCs/>
            <w:color w:val="000000" w:themeColor="text1"/>
            <w:sz w:val="17"/>
            <w:szCs w:val="17"/>
            <w:u w:val="none"/>
            <w:lang w:val="nl-BE"/>
          </w:rPr>
          <w:t>https://doi.org/10.5751/es-00650-090205</w:t>
        </w:r>
      </w:hyperlink>
    </w:p>
    <w:p w14:paraId="4D166651"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nl-BE"/>
        </w:rPr>
        <w:t xml:space="preserve">Wang, Y., Li, W., Xu, X., Qiu, C., Wu, T., Wei, Q., Ma, F., &amp; Han, Z. (2019). </w:t>
      </w:r>
      <w:r w:rsidRPr="002F7029">
        <w:rPr>
          <w:rFonts w:ascii="Times New Roman" w:eastAsia="Times New Roman" w:hAnsi="Times New Roman" w:cs="Times New Roman"/>
          <w:bCs/>
          <w:color w:val="000000" w:themeColor="text1"/>
          <w:sz w:val="17"/>
          <w:szCs w:val="17"/>
          <w:lang w:val="en-IN"/>
        </w:rPr>
        <w:t xml:space="preserve">Progress of apple rootstock breeding and its use. </w:t>
      </w:r>
      <w:r w:rsidRPr="002F7029">
        <w:rPr>
          <w:rFonts w:ascii="Times New Roman" w:eastAsia="Times New Roman" w:hAnsi="Times New Roman" w:cs="Times New Roman"/>
          <w:bCs/>
          <w:i/>
          <w:iCs/>
          <w:color w:val="000000" w:themeColor="text1"/>
          <w:sz w:val="17"/>
          <w:szCs w:val="17"/>
          <w:lang w:val="en-IN"/>
        </w:rPr>
        <w:t>Horticultural Plant Journal</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5</w:t>
      </w:r>
      <w:r w:rsidRPr="002F7029">
        <w:rPr>
          <w:rFonts w:ascii="Times New Roman" w:eastAsia="Times New Roman" w:hAnsi="Times New Roman" w:cs="Times New Roman"/>
          <w:bCs/>
          <w:color w:val="000000" w:themeColor="text1"/>
          <w:sz w:val="17"/>
          <w:szCs w:val="17"/>
          <w:lang w:val="en-IN"/>
        </w:rPr>
        <w:t xml:space="preserve">(5), 183–191. </w:t>
      </w:r>
      <w:hyperlink r:id="rId180">
        <w:r w:rsidRPr="002F7029">
          <w:rPr>
            <w:rStyle w:val="Hyperlink"/>
            <w:rFonts w:ascii="Times New Roman" w:eastAsia="Times New Roman" w:hAnsi="Times New Roman" w:cs="Times New Roman"/>
            <w:bCs/>
            <w:color w:val="000000" w:themeColor="text1"/>
            <w:sz w:val="17"/>
            <w:szCs w:val="17"/>
            <w:u w:val="none"/>
            <w:lang w:val="en-IN"/>
          </w:rPr>
          <w:t>https://doi.org/10.1016/j.hpj.2019.06.001</w:t>
        </w:r>
      </w:hyperlink>
    </w:p>
    <w:p w14:paraId="6F60111B"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Warschefsky, E. J., Klein, L. L., Frank, M. H., Chitwood, D. H., Londo, J. P., von Wettberg, E. J. B., &amp; Miller, A. J. (2016). Rootstocks: Diversity, domestication, and impacts on shoot phenotypes. </w:t>
      </w:r>
      <w:r w:rsidRPr="002F7029">
        <w:rPr>
          <w:rFonts w:ascii="Times New Roman" w:eastAsia="Times New Roman" w:hAnsi="Times New Roman" w:cs="Times New Roman"/>
          <w:bCs/>
          <w:i/>
          <w:iCs/>
          <w:color w:val="000000" w:themeColor="text1"/>
          <w:sz w:val="17"/>
          <w:szCs w:val="17"/>
          <w:lang w:val="en-IN"/>
        </w:rPr>
        <w:t>Trends in Plant Science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21</w:t>
      </w:r>
      <w:r w:rsidRPr="002F7029">
        <w:rPr>
          <w:rFonts w:ascii="Times New Roman" w:eastAsia="Times New Roman" w:hAnsi="Times New Roman" w:cs="Times New Roman"/>
          <w:bCs/>
          <w:color w:val="000000" w:themeColor="text1"/>
          <w:sz w:val="17"/>
          <w:szCs w:val="17"/>
          <w:lang w:val="en-IN"/>
        </w:rPr>
        <w:t xml:space="preserve">(5), 418–437. </w:t>
      </w:r>
      <w:hyperlink r:id="rId181">
        <w:r w:rsidRPr="002F7029">
          <w:rPr>
            <w:rStyle w:val="Hyperlink"/>
            <w:rFonts w:ascii="Times New Roman" w:eastAsia="Times New Roman" w:hAnsi="Times New Roman" w:cs="Times New Roman"/>
            <w:bCs/>
            <w:color w:val="000000" w:themeColor="text1"/>
            <w:sz w:val="17"/>
            <w:szCs w:val="17"/>
            <w:u w:val="none"/>
            <w:lang w:val="en-IN"/>
          </w:rPr>
          <w:t>https://doi.org/10.1016/j.tplants.2015.11.008</w:t>
        </w:r>
      </w:hyperlink>
    </w:p>
    <w:p w14:paraId="537D3749"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Willsea</w:t>
      </w:r>
      <w:proofErr w:type="spellEnd"/>
      <w:r w:rsidRPr="002F7029">
        <w:rPr>
          <w:rFonts w:ascii="Times New Roman" w:eastAsia="Times New Roman" w:hAnsi="Times New Roman" w:cs="Times New Roman"/>
          <w:bCs/>
          <w:color w:val="000000" w:themeColor="text1"/>
          <w:sz w:val="17"/>
          <w:szCs w:val="17"/>
          <w:lang w:val="en-IN"/>
        </w:rPr>
        <w:t xml:space="preserve">, N., Blanco, V., Rajagopalan, K., Campbell, T., Howe, O., &amp; </w:t>
      </w:r>
      <w:proofErr w:type="spellStart"/>
      <w:r w:rsidRPr="002F7029">
        <w:rPr>
          <w:rFonts w:ascii="Times New Roman" w:eastAsia="Times New Roman" w:hAnsi="Times New Roman" w:cs="Times New Roman"/>
          <w:bCs/>
          <w:color w:val="000000" w:themeColor="text1"/>
          <w:sz w:val="17"/>
          <w:szCs w:val="17"/>
          <w:lang w:val="en-IN"/>
        </w:rPr>
        <w:t>Kalcsits</w:t>
      </w:r>
      <w:proofErr w:type="spellEnd"/>
      <w:r w:rsidRPr="002F7029">
        <w:rPr>
          <w:rFonts w:ascii="Times New Roman" w:eastAsia="Times New Roman" w:hAnsi="Times New Roman" w:cs="Times New Roman"/>
          <w:bCs/>
          <w:color w:val="000000" w:themeColor="text1"/>
          <w:sz w:val="17"/>
          <w:szCs w:val="17"/>
          <w:lang w:val="en-IN"/>
        </w:rPr>
        <w:t xml:space="preserve">, L. (2023). Reviewing the </w:t>
      </w:r>
      <w:proofErr w:type="spellStart"/>
      <w:r w:rsidRPr="002F7029">
        <w:rPr>
          <w:rFonts w:ascii="Times New Roman" w:eastAsia="Times New Roman" w:hAnsi="Times New Roman" w:cs="Times New Roman"/>
          <w:bCs/>
          <w:color w:val="000000" w:themeColor="text1"/>
          <w:sz w:val="17"/>
          <w:szCs w:val="17"/>
          <w:lang w:val="en-IN"/>
        </w:rPr>
        <w:t>tradeoffs</w:t>
      </w:r>
      <w:proofErr w:type="spellEnd"/>
      <w:r w:rsidRPr="002F7029">
        <w:rPr>
          <w:rFonts w:ascii="Times New Roman" w:eastAsia="Times New Roman" w:hAnsi="Times New Roman" w:cs="Times New Roman"/>
          <w:bCs/>
          <w:color w:val="000000" w:themeColor="text1"/>
          <w:sz w:val="17"/>
          <w:szCs w:val="17"/>
          <w:lang w:val="en-IN"/>
        </w:rPr>
        <w:t xml:space="preserve"> between sunburn mitigation and red </w:t>
      </w:r>
      <w:proofErr w:type="spellStart"/>
      <w:r w:rsidRPr="002F7029">
        <w:rPr>
          <w:rFonts w:ascii="Times New Roman" w:eastAsia="Times New Roman" w:hAnsi="Times New Roman" w:cs="Times New Roman"/>
          <w:bCs/>
          <w:color w:val="000000" w:themeColor="text1"/>
          <w:sz w:val="17"/>
          <w:szCs w:val="17"/>
          <w:lang w:val="en-IN"/>
        </w:rPr>
        <w:t>color</w:t>
      </w:r>
      <w:proofErr w:type="spellEnd"/>
      <w:r w:rsidRPr="002F7029">
        <w:rPr>
          <w:rFonts w:ascii="Times New Roman" w:eastAsia="Times New Roman" w:hAnsi="Times New Roman" w:cs="Times New Roman"/>
          <w:bCs/>
          <w:color w:val="000000" w:themeColor="text1"/>
          <w:sz w:val="17"/>
          <w:szCs w:val="17"/>
          <w:lang w:val="en-IN"/>
        </w:rPr>
        <w:t xml:space="preserve"> development in apple under a changing climate. </w:t>
      </w:r>
      <w:proofErr w:type="spellStart"/>
      <w:r w:rsidRPr="002F7029">
        <w:rPr>
          <w:rFonts w:ascii="Times New Roman" w:eastAsia="Times New Roman" w:hAnsi="Times New Roman" w:cs="Times New Roman"/>
          <w:bCs/>
          <w:i/>
          <w:iCs/>
          <w:color w:val="000000" w:themeColor="text1"/>
          <w:sz w:val="17"/>
          <w:szCs w:val="17"/>
          <w:lang w:val="en-IN"/>
        </w:rPr>
        <w:t>Horticulturae</w:t>
      </w:r>
      <w:proofErr w:type="spellEnd"/>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9</w:t>
      </w:r>
      <w:r w:rsidRPr="002F7029">
        <w:rPr>
          <w:rFonts w:ascii="Times New Roman" w:eastAsia="Times New Roman" w:hAnsi="Times New Roman" w:cs="Times New Roman"/>
          <w:bCs/>
          <w:color w:val="000000" w:themeColor="text1"/>
          <w:sz w:val="17"/>
          <w:szCs w:val="17"/>
          <w:lang w:val="en-IN"/>
        </w:rPr>
        <w:t xml:space="preserve">(4), Article 492. </w:t>
      </w:r>
      <w:hyperlink r:id="rId182">
        <w:r w:rsidRPr="002F7029">
          <w:rPr>
            <w:rStyle w:val="Hyperlink"/>
            <w:rFonts w:ascii="Times New Roman" w:eastAsia="Times New Roman" w:hAnsi="Times New Roman" w:cs="Times New Roman"/>
            <w:bCs/>
            <w:color w:val="000000" w:themeColor="text1"/>
            <w:sz w:val="17"/>
            <w:szCs w:val="17"/>
            <w:u w:val="none"/>
            <w:lang w:val="en-IN"/>
          </w:rPr>
          <w:t>https://doi.org/10.3390/horticulturae9040492</w:t>
        </w:r>
      </w:hyperlink>
    </w:p>
    <w:p w14:paraId="05BEDCBD"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Wolkovich</w:t>
      </w:r>
      <w:proofErr w:type="spellEnd"/>
      <w:r w:rsidRPr="002F7029">
        <w:rPr>
          <w:rFonts w:ascii="Times New Roman" w:eastAsia="Times New Roman" w:hAnsi="Times New Roman" w:cs="Times New Roman"/>
          <w:bCs/>
          <w:color w:val="000000" w:themeColor="text1"/>
          <w:sz w:val="17"/>
          <w:szCs w:val="17"/>
          <w:lang w:val="en-IN"/>
        </w:rPr>
        <w:t>, E. M., García de Cortázar-</w:t>
      </w:r>
      <w:proofErr w:type="spellStart"/>
      <w:r w:rsidRPr="002F7029">
        <w:rPr>
          <w:rFonts w:ascii="Times New Roman" w:eastAsia="Times New Roman" w:hAnsi="Times New Roman" w:cs="Times New Roman"/>
          <w:bCs/>
          <w:color w:val="000000" w:themeColor="text1"/>
          <w:sz w:val="17"/>
          <w:szCs w:val="17"/>
          <w:lang w:val="en-IN"/>
        </w:rPr>
        <w:t>Atauri</w:t>
      </w:r>
      <w:proofErr w:type="spellEnd"/>
      <w:r w:rsidRPr="002F7029">
        <w:rPr>
          <w:rFonts w:ascii="Times New Roman" w:eastAsia="Times New Roman" w:hAnsi="Times New Roman" w:cs="Times New Roman"/>
          <w:bCs/>
          <w:color w:val="000000" w:themeColor="text1"/>
          <w:sz w:val="17"/>
          <w:szCs w:val="17"/>
          <w:lang w:val="en-IN"/>
        </w:rPr>
        <w:t xml:space="preserve">, I., Morales-Castilla, I., Nicholas, K. A., &amp; Lacombe, T. (2018). From Pinot to Xinomavro in the world’s future wine-growing regions. </w:t>
      </w:r>
      <w:r w:rsidRPr="002F7029">
        <w:rPr>
          <w:rFonts w:ascii="Times New Roman" w:eastAsia="Times New Roman" w:hAnsi="Times New Roman" w:cs="Times New Roman"/>
          <w:bCs/>
          <w:i/>
          <w:iCs/>
          <w:color w:val="000000" w:themeColor="text1"/>
          <w:sz w:val="17"/>
          <w:szCs w:val="17"/>
          <w:lang w:val="en-IN"/>
        </w:rPr>
        <w:t>Nature Climate Change</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8</w:t>
      </w:r>
      <w:r w:rsidRPr="002F7029">
        <w:rPr>
          <w:rFonts w:ascii="Times New Roman" w:eastAsia="Times New Roman" w:hAnsi="Times New Roman" w:cs="Times New Roman"/>
          <w:bCs/>
          <w:color w:val="000000" w:themeColor="text1"/>
          <w:sz w:val="17"/>
          <w:szCs w:val="17"/>
          <w:lang w:val="en-IN"/>
        </w:rPr>
        <w:t xml:space="preserve">(1), 29–37. </w:t>
      </w:r>
      <w:hyperlink r:id="rId183">
        <w:r w:rsidRPr="002F7029">
          <w:rPr>
            <w:rStyle w:val="Hyperlink"/>
            <w:rFonts w:ascii="Times New Roman" w:eastAsia="Times New Roman" w:hAnsi="Times New Roman" w:cs="Times New Roman"/>
            <w:bCs/>
            <w:color w:val="000000" w:themeColor="text1"/>
            <w:sz w:val="17"/>
            <w:szCs w:val="17"/>
            <w:u w:val="none"/>
            <w:lang w:val="en-IN"/>
          </w:rPr>
          <w:t>https://doi.org/10.1038/s41558-017-0016-6</w:t>
        </w:r>
      </w:hyperlink>
    </w:p>
    <w:p w14:paraId="062703BF"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Yamane, H., Ooka, T., </w:t>
      </w:r>
      <w:proofErr w:type="spellStart"/>
      <w:r w:rsidRPr="002F7029">
        <w:rPr>
          <w:rFonts w:ascii="Times New Roman" w:eastAsia="Times New Roman" w:hAnsi="Times New Roman" w:cs="Times New Roman"/>
          <w:bCs/>
          <w:color w:val="000000" w:themeColor="text1"/>
          <w:sz w:val="17"/>
          <w:szCs w:val="17"/>
          <w:lang w:val="en-IN"/>
        </w:rPr>
        <w:t>Jotatsu</w:t>
      </w:r>
      <w:proofErr w:type="spellEnd"/>
      <w:r w:rsidRPr="002F7029">
        <w:rPr>
          <w:rFonts w:ascii="Times New Roman" w:eastAsia="Times New Roman" w:hAnsi="Times New Roman" w:cs="Times New Roman"/>
          <w:bCs/>
          <w:color w:val="000000" w:themeColor="text1"/>
          <w:sz w:val="17"/>
          <w:szCs w:val="17"/>
          <w:lang w:val="en-IN"/>
        </w:rPr>
        <w:t xml:space="preserve">, H., Hosaka, Y., Sasaki, R., &amp; Tao, R. (2011). Expressional regulation of </w:t>
      </w:r>
      <w:r w:rsidRPr="002F7029">
        <w:rPr>
          <w:rFonts w:ascii="Times New Roman" w:eastAsia="Times New Roman" w:hAnsi="Times New Roman" w:cs="Times New Roman"/>
          <w:bCs/>
          <w:i/>
          <w:iCs/>
          <w:color w:val="000000" w:themeColor="text1"/>
          <w:sz w:val="17"/>
          <w:szCs w:val="17"/>
          <w:lang w:val="en-IN"/>
        </w:rPr>
        <w:t>PpDAM5</w:t>
      </w:r>
      <w:r w:rsidRPr="002F7029">
        <w:rPr>
          <w:rFonts w:ascii="Times New Roman" w:eastAsia="Times New Roman" w:hAnsi="Times New Roman" w:cs="Times New Roman"/>
          <w:bCs/>
          <w:color w:val="000000" w:themeColor="text1"/>
          <w:sz w:val="17"/>
          <w:szCs w:val="17"/>
          <w:lang w:val="en-IN"/>
        </w:rPr>
        <w:t xml:space="preserve"> and </w:t>
      </w:r>
      <w:r w:rsidRPr="002F7029">
        <w:rPr>
          <w:rFonts w:ascii="Times New Roman" w:eastAsia="Times New Roman" w:hAnsi="Times New Roman" w:cs="Times New Roman"/>
          <w:bCs/>
          <w:i/>
          <w:iCs/>
          <w:color w:val="000000" w:themeColor="text1"/>
          <w:sz w:val="17"/>
          <w:szCs w:val="17"/>
          <w:lang w:val="en-IN"/>
        </w:rPr>
        <w:t>PpDAM6</w:t>
      </w:r>
      <w:r w:rsidRPr="002F7029">
        <w:rPr>
          <w:rFonts w:ascii="Times New Roman" w:eastAsia="Times New Roman" w:hAnsi="Times New Roman" w:cs="Times New Roman"/>
          <w:bCs/>
          <w:color w:val="000000" w:themeColor="text1"/>
          <w:sz w:val="17"/>
          <w:szCs w:val="17"/>
          <w:lang w:val="en-IN"/>
        </w:rPr>
        <w:t>, peach (</w:t>
      </w:r>
      <w:r w:rsidRPr="002F7029">
        <w:rPr>
          <w:rFonts w:ascii="Times New Roman" w:eastAsia="Times New Roman" w:hAnsi="Times New Roman" w:cs="Times New Roman"/>
          <w:bCs/>
          <w:i/>
          <w:iCs/>
          <w:color w:val="000000" w:themeColor="text1"/>
          <w:sz w:val="17"/>
          <w:szCs w:val="17"/>
          <w:lang w:val="en-IN"/>
        </w:rPr>
        <w:t>Prunus persica</w:t>
      </w:r>
      <w:r w:rsidRPr="002F7029">
        <w:rPr>
          <w:rFonts w:ascii="Times New Roman" w:eastAsia="Times New Roman" w:hAnsi="Times New Roman" w:cs="Times New Roman"/>
          <w:bCs/>
          <w:color w:val="000000" w:themeColor="text1"/>
          <w:sz w:val="17"/>
          <w:szCs w:val="17"/>
          <w:lang w:val="en-IN"/>
        </w:rPr>
        <w:t xml:space="preserve">) dormancy-associated MADS-box genes, by low temperature and dormancy-breaking reagent treatment. </w:t>
      </w:r>
      <w:r w:rsidRPr="002F7029">
        <w:rPr>
          <w:rFonts w:ascii="Times New Roman" w:eastAsia="Times New Roman" w:hAnsi="Times New Roman" w:cs="Times New Roman"/>
          <w:bCs/>
          <w:i/>
          <w:iCs/>
          <w:color w:val="000000" w:themeColor="text1"/>
          <w:sz w:val="17"/>
          <w:szCs w:val="17"/>
          <w:lang w:val="en-IN"/>
        </w:rPr>
        <w:t>Journal of Experimental Botany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62</w:t>
      </w:r>
      <w:r w:rsidRPr="002F7029">
        <w:rPr>
          <w:rFonts w:ascii="Times New Roman" w:eastAsia="Times New Roman" w:hAnsi="Times New Roman" w:cs="Times New Roman"/>
          <w:bCs/>
          <w:color w:val="000000" w:themeColor="text1"/>
          <w:sz w:val="17"/>
          <w:szCs w:val="17"/>
          <w:lang w:val="en-IN"/>
        </w:rPr>
        <w:t xml:space="preserve">(10), 3481–3488. </w:t>
      </w:r>
      <w:hyperlink r:id="rId184">
        <w:r w:rsidRPr="002F7029">
          <w:rPr>
            <w:rStyle w:val="Hyperlink"/>
            <w:rFonts w:ascii="Times New Roman" w:eastAsia="Times New Roman" w:hAnsi="Times New Roman" w:cs="Times New Roman"/>
            <w:bCs/>
            <w:color w:val="000000" w:themeColor="text1"/>
            <w:sz w:val="17"/>
            <w:szCs w:val="17"/>
            <w:u w:val="none"/>
            <w:lang w:val="en-IN"/>
          </w:rPr>
          <w:t>https://doi.org/10.1093/jxb/err028</w:t>
        </w:r>
      </w:hyperlink>
    </w:p>
    <w:p w14:paraId="21C77BFF"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Yang, Y., Mao, L., </w:t>
      </w:r>
      <w:proofErr w:type="spellStart"/>
      <w:r w:rsidRPr="002F7029">
        <w:rPr>
          <w:rFonts w:ascii="Times New Roman" w:eastAsia="Times New Roman" w:hAnsi="Times New Roman" w:cs="Times New Roman"/>
          <w:bCs/>
          <w:color w:val="000000" w:themeColor="text1"/>
          <w:sz w:val="17"/>
          <w:szCs w:val="17"/>
          <w:lang w:val="en-IN"/>
        </w:rPr>
        <w:t>Jittayasothorn</w:t>
      </w:r>
      <w:proofErr w:type="spellEnd"/>
      <w:r w:rsidRPr="002F7029">
        <w:rPr>
          <w:rFonts w:ascii="Times New Roman" w:eastAsia="Times New Roman" w:hAnsi="Times New Roman" w:cs="Times New Roman"/>
          <w:bCs/>
          <w:color w:val="000000" w:themeColor="text1"/>
          <w:sz w:val="17"/>
          <w:szCs w:val="17"/>
          <w:lang w:val="en-IN"/>
        </w:rPr>
        <w:t xml:space="preserve">, Y., Kang, Y., Jiao, C., Fei, Z., &amp; Zhong, G.-Y. (2015). Messenger RNA exchange between scions and rootstocks in grafted grapevines. </w:t>
      </w:r>
      <w:r w:rsidRPr="002F7029">
        <w:rPr>
          <w:rFonts w:ascii="Times New Roman" w:eastAsia="Times New Roman" w:hAnsi="Times New Roman" w:cs="Times New Roman"/>
          <w:bCs/>
          <w:i/>
          <w:iCs/>
          <w:color w:val="000000" w:themeColor="text1"/>
          <w:sz w:val="17"/>
          <w:szCs w:val="17"/>
          <w:lang w:val="en-IN"/>
        </w:rPr>
        <w:t>BMC Plant Biology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15</w:t>
      </w:r>
      <w:r w:rsidRPr="002F7029">
        <w:rPr>
          <w:rFonts w:ascii="Times New Roman" w:eastAsia="Times New Roman" w:hAnsi="Times New Roman" w:cs="Times New Roman"/>
          <w:bCs/>
          <w:color w:val="000000" w:themeColor="text1"/>
          <w:sz w:val="17"/>
          <w:szCs w:val="17"/>
          <w:lang w:val="en-IN"/>
        </w:rPr>
        <w:t xml:space="preserve">(1), Article 251. </w:t>
      </w:r>
      <w:hyperlink r:id="rId185">
        <w:r w:rsidRPr="002F7029">
          <w:rPr>
            <w:rStyle w:val="Hyperlink"/>
            <w:rFonts w:ascii="Times New Roman" w:eastAsia="Times New Roman" w:hAnsi="Times New Roman" w:cs="Times New Roman"/>
            <w:bCs/>
            <w:color w:val="000000" w:themeColor="text1"/>
            <w:sz w:val="17"/>
            <w:szCs w:val="17"/>
            <w:u w:val="none"/>
            <w:lang w:val="en-IN"/>
          </w:rPr>
          <w:t>https://doi.org/10.1186/s12870-015-0626-y</w:t>
        </w:r>
      </w:hyperlink>
    </w:p>
    <w:p w14:paraId="7CECB5A8"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proofErr w:type="spellStart"/>
      <w:r w:rsidRPr="002F7029">
        <w:rPr>
          <w:rFonts w:ascii="Times New Roman" w:eastAsia="Times New Roman" w:hAnsi="Times New Roman" w:cs="Times New Roman"/>
          <w:bCs/>
          <w:color w:val="000000" w:themeColor="text1"/>
          <w:sz w:val="17"/>
          <w:szCs w:val="17"/>
          <w:lang w:val="en-IN"/>
        </w:rPr>
        <w:t>Zandalinas</w:t>
      </w:r>
      <w:proofErr w:type="spellEnd"/>
      <w:r w:rsidRPr="002F7029">
        <w:rPr>
          <w:rFonts w:ascii="Times New Roman" w:eastAsia="Times New Roman" w:hAnsi="Times New Roman" w:cs="Times New Roman"/>
          <w:bCs/>
          <w:color w:val="000000" w:themeColor="text1"/>
          <w:sz w:val="17"/>
          <w:szCs w:val="17"/>
          <w:lang w:val="en-IN"/>
        </w:rPr>
        <w:t xml:space="preserve">, S. I., Rivero, R. M., Martínez, V., Gómez-Cadenas, A., &amp; Arbona, V. (2016). Tolerance of citrus plants to the combination of high temperatures and drought is associated to the increase in transpiration modulated by a reduction in abscisic acid levels. </w:t>
      </w:r>
      <w:r w:rsidRPr="002F7029">
        <w:rPr>
          <w:rFonts w:ascii="Times New Roman" w:eastAsia="Times New Roman" w:hAnsi="Times New Roman" w:cs="Times New Roman"/>
          <w:bCs/>
          <w:i/>
          <w:iCs/>
          <w:color w:val="000000" w:themeColor="text1"/>
          <w:sz w:val="17"/>
          <w:szCs w:val="17"/>
          <w:lang w:val="en-IN"/>
        </w:rPr>
        <w:t>BMC Plant Biology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16</w:t>
      </w:r>
      <w:r w:rsidRPr="002F7029">
        <w:rPr>
          <w:rFonts w:ascii="Times New Roman" w:eastAsia="Times New Roman" w:hAnsi="Times New Roman" w:cs="Times New Roman"/>
          <w:bCs/>
          <w:color w:val="000000" w:themeColor="text1"/>
          <w:sz w:val="17"/>
          <w:szCs w:val="17"/>
          <w:lang w:val="en-IN"/>
        </w:rPr>
        <w:t xml:space="preserve">(1), Article 105. </w:t>
      </w:r>
      <w:hyperlink r:id="rId186">
        <w:r w:rsidRPr="002F7029">
          <w:rPr>
            <w:rStyle w:val="Hyperlink"/>
            <w:rFonts w:ascii="Times New Roman" w:eastAsia="Times New Roman" w:hAnsi="Times New Roman" w:cs="Times New Roman"/>
            <w:bCs/>
            <w:color w:val="000000" w:themeColor="text1"/>
            <w:sz w:val="17"/>
            <w:szCs w:val="17"/>
            <w:u w:val="none"/>
            <w:lang w:val="en-IN"/>
          </w:rPr>
          <w:t>https://doi.org/10.1186/s12870-016-0791-7</w:t>
        </w:r>
      </w:hyperlink>
    </w:p>
    <w:p w14:paraId="2001EDF0"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Zhang, L., Marguerit, E., </w:t>
      </w:r>
      <w:proofErr w:type="spellStart"/>
      <w:r w:rsidRPr="002F7029">
        <w:rPr>
          <w:rFonts w:ascii="Times New Roman" w:eastAsia="Times New Roman" w:hAnsi="Times New Roman" w:cs="Times New Roman"/>
          <w:bCs/>
          <w:color w:val="000000" w:themeColor="text1"/>
          <w:sz w:val="17"/>
          <w:szCs w:val="17"/>
          <w:lang w:val="en-IN"/>
        </w:rPr>
        <w:t>Rossdeutsch</w:t>
      </w:r>
      <w:proofErr w:type="spellEnd"/>
      <w:r w:rsidRPr="002F7029">
        <w:rPr>
          <w:rFonts w:ascii="Times New Roman" w:eastAsia="Times New Roman" w:hAnsi="Times New Roman" w:cs="Times New Roman"/>
          <w:bCs/>
          <w:color w:val="000000" w:themeColor="text1"/>
          <w:sz w:val="17"/>
          <w:szCs w:val="17"/>
          <w:lang w:val="en-IN"/>
        </w:rPr>
        <w:t xml:space="preserve">, L., Ollat, N., &amp; Gambetta, G. A. (2016). The influence of grapevine rootstocks on scion growth and drought resistance. </w:t>
      </w:r>
      <w:r w:rsidRPr="002F7029">
        <w:rPr>
          <w:rFonts w:ascii="Times New Roman" w:eastAsia="Times New Roman" w:hAnsi="Times New Roman" w:cs="Times New Roman"/>
          <w:bCs/>
          <w:i/>
          <w:iCs/>
          <w:color w:val="000000" w:themeColor="text1"/>
          <w:sz w:val="17"/>
          <w:szCs w:val="17"/>
          <w:lang w:val="en-IN"/>
        </w:rPr>
        <w:t>Theoretical and Experimental Plant Physiology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28</w:t>
      </w:r>
      <w:r w:rsidRPr="002F7029">
        <w:rPr>
          <w:rFonts w:ascii="Times New Roman" w:eastAsia="Times New Roman" w:hAnsi="Times New Roman" w:cs="Times New Roman"/>
          <w:bCs/>
          <w:color w:val="000000" w:themeColor="text1"/>
          <w:sz w:val="17"/>
          <w:szCs w:val="17"/>
          <w:lang w:val="en-IN"/>
        </w:rPr>
        <w:t xml:space="preserve">(2), 143–157. </w:t>
      </w:r>
      <w:hyperlink r:id="rId187">
        <w:r w:rsidRPr="002F7029">
          <w:rPr>
            <w:rStyle w:val="Hyperlink"/>
            <w:rFonts w:ascii="Times New Roman" w:eastAsia="Times New Roman" w:hAnsi="Times New Roman" w:cs="Times New Roman"/>
            <w:bCs/>
            <w:color w:val="000000" w:themeColor="text1"/>
            <w:sz w:val="17"/>
            <w:szCs w:val="17"/>
            <w:u w:val="none"/>
            <w:lang w:val="en-IN"/>
          </w:rPr>
          <w:t>https://doi.org/10.1007/s40626-016-0070-x</w:t>
        </w:r>
      </w:hyperlink>
    </w:p>
    <w:p w14:paraId="0511C611"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Zhao, Y.-L., Li, Y., Cao, K., Yao, J.-L., Bie, H.-L., Khan, I. A., Fang, W.-C., Chen, C.-W., Wang, X.-W., Wu, J.-L., Guo, W.-W., &amp; Wang, L.-R. (2023). MADS-box protein PpDAM6 regulates chilling requirement-mediated dormancy and bud break in peach. </w:t>
      </w:r>
      <w:r w:rsidRPr="002F7029">
        <w:rPr>
          <w:rFonts w:ascii="Times New Roman" w:eastAsia="Times New Roman" w:hAnsi="Times New Roman" w:cs="Times New Roman"/>
          <w:bCs/>
          <w:i/>
          <w:iCs/>
          <w:color w:val="000000" w:themeColor="text1"/>
          <w:sz w:val="17"/>
          <w:szCs w:val="17"/>
          <w:lang w:val="en-IN"/>
        </w:rPr>
        <w:t>Plant Physiology</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193</w:t>
      </w:r>
      <w:r w:rsidRPr="002F7029">
        <w:rPr>
          <w:rFonts w:ascii="Times New Roman" w:eastAsia="Times New Roman" w:hAnsi="Times New Roman" w:cs="Times New Roman"/>
          <w:bCs/>
          <w:color w:val="000000" w:themeColor="text1"/>
          <w:sz w:val="17"/>
          <w:szCs w:val="17"/>
          <w:lang w:val="en-IN"/>
        </w:rPr>
        <w:t xml:space="preserve">(1), 448–465. </w:t>
      </w:r>
      <w:hyperlink r:id="rId188">
        <w:r w:rsidRPr="002F7029">
          <w:rPr>
            <w:rStyle w:val="Hyperlink"/>
            <w:rFonts w:ascii="Times New Roman" w:eastAsia="Times New Roman" w:hAnsi="Times New Roman" w:cs="Times New Roman"/>
            <w:bCs/>
            <w:color w:val="000000" w:themeColor="text1"/>
            <w:sz w:val="17"/>
            <w:szCs w:val="17"/>
            <w:u w:val="none"/>
            <w:lang w:val="en-IN"/>
          </w:rPr>
          <w:t>https://doi.org/10.1093/plphys/kiad291</w:t>
        </w:r>
      </w:hyperlink>
    </w:p>
    <w:p w14:paraId="15E81E4B"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t xml:space="preserve">Zhou-Tsang, A., Wu, Y., Henderson, S. W., Walker, A. R., Borneman, A. R., Walker, R. R., &amp; </w:t>
      </w:r>
      <w:proofErr w:type="spellStart"/>
      <w:r w:rsidRPr="002F7029">
        <w:rPr>
          <w:rFonts w:ascii="Times New Roman" w:eastAsia="Times New Roman" w:hAnsi="Times New Roman" w:cs="Times New Roman"/>
          <w:bCs/>
          <w:color w:val="000000" w:themeColor="text1"/>
          <w:sz w:val="17"/>
          <w:szCs w:val="17"/>
          <w:lang w:val="en-IN"/>
        </w:rPr>
        <w:t>Gilliham</w:t>
      </w:r>
      <w:proofErr w:type="spellEnd"/>
      <w:r w:rsidRPr="002F7029">
        <w:rPr>
          <w:rFonts w:ascii="Times New Roman" w:eastAsia="Times New Roman" w:hAnsi="Times New Roman" w:cs="Times New Roman"/>
          <w:bCs/>
          <w:color w:val="000000" w:themeColor="text1"/>
          <w:sz w:val="17"/>
          <w:szCs w:val="17"/>
          <w:lang w:val="en-IN"/>
        </w:rPr>
        <w:t xml:space="preserve">, M. (2021). Grapevine salt tolerance. </w:t>
      </w:r>
      <w:r w:rsidRPr="002F7029">
        <w:rPr>
          <w:rFonts w:ascii="Times New Roman" w:eastAsia="Times New Roman" w:hAnsi="Times New Roman" w:cs="Times New Roman"/>
          <w:bCs/>
          <w:i/>
          <w:iCs/>
          <w:color w:val="000000" w:themeColor="text1"/>
          <w:sz w:val="17"/>
          <w:szCs w:val="17"/>
          <w:lang w:val="en-IN"/>
        </w:rPr>
        <w:t>Australian Journal of Grape and Wine Research</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27</w:t>
      </w:r>
      <w:r w:rsidRPr="002F7029">
        <w:rPr>
          <w:rFonts w:ascii="Times New Roman" w:eastAsia="Times New Roman" w:hAnsi="Times New Roman" w:cs="Times New Roman"/>
          <w:bCs/>
          <w:color w:val="000000" w:themeColor="text1"/>
          <w:sz w:val="17"/>
          <w:szCs w:val="17"/>
          <w:lang w:val="en-IN"/>
        </w:rPr>
        <w:t xml:space="preserve">(2), 149–168. </w:t>
      </w:r>
      <w:hyperlink r:id="rId189">
        <w:r w:rsidRPr="002F7029">
          <w:rPr>
            <w:rStyle w:val="Hyperlink"/>
            <w:rFonts w:ascii="Times New Roman" w:eastAsia="Times New Roman" w:hAnsi="Times New Roman" w:cs="Times New Roman"/>
            <w:bCs/>
            <w:color w:val="000000" w:themeColor="text1"/>
            <w:sz w:val="17"/>
            <w:szCs w:val="17"/>
            <w:u w:val="none"/>
            <w:lang w:val="en-IN"/>
          </w:rPr>
          <w:t>https://doi.org/10.1111/ajgw.12487</w:t>
        </w:r>
      </w:hyperlink>
    </w:p>
    <w:p w14:paraId="04DEEBDB" w14:textId="77777777"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lang w:val="en-IN"/>
        </w:rPr>
      </w:pPr>
      <w:r w:rsidRPr="002F7029">
        <w:rPr>
          <w:rFonts w:ascii="Times New Roman" w:eastAsia="Times New Roman" w:hAnsi="Times New Roman" w:cs="Times New Roman"/>
          <w:bCs/>
          <w:color w:val="000000" w:themeColor="text1"/>
          <w:sz w:val="17"/>
          <w:szCs w:val="17"/>
          <w:lang w:val="en-IN"/>
        </w:rPr>
        <w:lastRenderedPageBreak/>
        <w:t xml:space="preserve">Zhu, H., Chen, P.-Y., Zhong, S., Dardick, C., Callahan, A., An, Y.-Q., van Knocker, S., Yang, Y., Zhong, G.-Y., Abbott, A., &amp; Liu, Z. (2020). Thermal-responsive genetic and epigenetic regulation of DAM cluster controlling dormancy and chilling requirement in peach floral buds. </w:t>
      </w:r>
      <w:r w:rsidRPr="002F7029">
        <w:rPr>
          <w:rFonts w:ascii="Times New Roman" w:eastAsia="Times New Roman" w:hAnsi="Times New Roman" w:cs="Times New Roman"/>
          <w:bCs/>
          <w:i/>
          <w:iCs/>
          <w:color w:val="000000" w:themeColor="text1"/>
          <w:sz w:val="17"/>
          <w:szCs w:val="17"/>
          <w:lang w:val="en-IN"/>
        </w:rPr>
        <w:t>Horticulture Research</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7</w:t>
      </w:r>
      <w:r w:rsidRPr="002F7029">
        <w:rPr>
          <w:rFonts w:ascii="Times New Roman" w:eastAsia="Times New Roman" w:hAnsi="Times New Roman" w:cs="Times New Roman"/>
          <w:bCs/>
          <w:color w:val="000000" w:themeColor="text1"/>
          <w:sz w:val="17"/>
          <w:szCs w:val="17"/>
          <w:lang w:val="en-IN"/>
        </w:rPr>
        <w:t xml:space="preserve">(1), Article 114. </w:t>
      </w:r>
      <w:hyperlink r:id="rId190">
        <w:r w:rsidRPr="002F7029">
          <w:rPr>
            <w:rStyle w:val="Hyperlink"/>
            <w:rFonts w:ascii="Times New Roman" w:eastAsia="Times New Roman" w:hAnsi="Times New Roman" w:cs="Times New Roman"/>
            <w:bCs/>
            <w:color w:val="000000" w:themeColor="text1"/>
            <w:sz w:val="17"/>
            <w:szCs w:val="17"/>
            <w:u w:val="none"/>
            <w:lang w:val="en-IN"/>
          </w:rPr>
          <w:t>https://doi.org/10.1038/s41438-020-0336-y</w:t>
        </w:r>
      </w:hyperlink>
    </w:p>
    <w:p w14:paraId="6AD77ED0" w14:textId="770AE468" w:rsidR="001C1531" w:rsidRPr="002F7029" w:rsidRDefault="001C1531" w:rsidP="00B821B1">
      <w:pPr>
        <w:spacing w:before="6" w:after="0" w:line="240" w:lineRule="auto"/>
        <w:ind w:left="540" w:hanging="540"/>
        <w:jc w:val="both"/>
        <w:rPr>
          <w:rFonts w:ascii="Times New Roman" w:eastAsia="Times New Roman" w:hAnsi="Times New Roman" w:cs="Times New Roman"/>
          <w:bCs/>
          <w:color w:val="000000" w:themeColor="text1"/>
          <w:sz w:val="17"/>
          <w:szCs w:val="17"/>
        </w:rPr>
      </w:pPr>
      <w:r w:rsidRPr="002F7029">
        <w:rPr>
          <w:rFonts w:ascii="Times New Roman" w:eastAsia="Times New Roman" w:hAnsi="Times New Roman" w:cs="Times New Roman"/>
          <w:bCs/>
          <w:color w:val="000000" w:themeColor="text1"/>
          <w:sz w:val="17"/>
          <w:szCs w:val="17"/>
          <w:lang w:val="en-IN"/>
        </w:rPr>
        <w:t xml:space="preserve">Zohner, C. M., Mo, L., Renner, S. S., Svenning, J.-C., </w:t>
      </w:r>
      <w:proofErr w:type="spellStart"/>
      <w:r w:rsidRPr="002F7029">
        <w:rPr>
          <w:rFonts w:ascii="Times New Roman" w:eastAsia="Times New Roman" w:hAnsi="Times New Roman" w:cs="Times New Roman"/>
          <w:bCs/>
          <w:color w:val="000000" w:themeColor="text1"/>
          <w:sz w:val="17"/>
          <w:szCs w:val="17"/>
          <w:lang w:val="en-IN"/>
        </w:rPr>
        <w:t>Vitasse</w:t>
      </w:r>
      <w:proofErr w:type="spellEnd"/>
      <w:r w:rsidRPr="002F7029">
        <w:rPr>
          <w:rFonts w:ascii="Times New Roman" w:eastAsia="Times New Roman" w:hAnsi="Times New Roman" w:cs="Times New Roman"/>
          <w:bCs/>
          <w:color w:val="000000" w:themeColor="text1"/>
          <w:sz w:val="17"/>
          <w:szCs w:val="17"/>
          <w:lang w:val="en-IN"/>
        </w:rPr>
        <w:t xml:space="preserve">, Y., Benito, B. M., Ordonez, A., Baumgarten, F., Bastin, J.-F., Sebald, V., Reich, P. B., Liang, J., </w:t>
      </w:r>
      <w:proofErr w:type="spellStart"/>
      <w:r w:rsidRPr="002F7029">
        <w:rPr>
          <w:rFonts w:ascii="Times New Roman" w:eastAsia="Times New Roman" w:hAnsi="Times New Roman" w:cs="Times New Roman"/>
          <w:bCs/>
          <w:color w:val="000000" w:themeColor="text1"/>
          <w:sz w:val="17"/>
          <w:szCs w:val="17"/>
          <w:lang w:val="en-IN"/>
        </w:rPr>
        <w:t>Nabuurs</w:t>
      </w:r>
      <w:proofErr w:type="spellEnd"/>
      <w:r w:rsidRPr="002F7029">
        <w:rPr>
          <w:rFonts w:ascii="Times New Roman" w:eastAsia="Times New Roman" w:hAnsi="Times New Roman" w:cs="Times New Roman"/>
          <w:bCs/>
          <w:color w:val="000000" w:themeColor="text1"/>
          <w:sz w:val="17"/>
          <w:szCs w:val="17"/>
          <w:lang w:val="en-IN"/>
        </w:rPr>
        <w:t xml:space="preserve">, G.-J., de-Miguel, S., Alberti, G., Antón-Fernández, C., Balazy, R., </w:t>
      </w:r>
      <w:proofErr w:type="spellStart"/>
      <w:r w:rsidRPr="002F7029">
        <w:rPr>
          <w:rFonts w:ascii="Times New Roman" w:eastAsia="Times New Roman" w:hAnsi="Times New Roman" w:cs="Times New Roman"/>
          <w:bCs/>
          <w:color w:val="000000" w:themeColor="text1"/>
          <w:sz w:val="17"/>
          <w:szCs w:val="17"/>
          <w:lang w:val="en-IN"/>
        </w:rPr>
        <w:t>Brändli</w:t>
      </w:r>
      <w:proofErr w:type="spellEnd"/>
      <w:r w:rsidRPr="002F7029">
        <w:rPr>
          <w:rFonts w:ascii="Times New Roman" w:eastAsia="Times New Roman" w:hAnsi="Times New Roman" w:cs="Times New Roman"/>
          <w:bCs/>
          <w:color w:val="000000" w:themeColor="text1"/>
          <w:sz w:val="17"/>
          <w:szCs w:val="17"/>
          <w:lang w:val="en-IN"/>
        </w:rPr>
        <w:t xml:space="preserve">, U.-B., Chen, H. Y. H., . . . Crowther, T. W. (2020). Late-spring frost risk between 1959 and 2017 decreased in North America but increased in Europe and Asia. </w:t>
      </w:r>
      <w:r w:rsidRPr="002F7029">
        <w:rPr>
          <w:rFonts w:ascii="Times New Roman" w:eastAsia="Times New Roman" w:hAnsi="Times New Roman" w:cs="Times New Roman"/>
          <w:bCs/>
          <w:i/>
          <w:iCs/>
          <w:color w:val="000000" w:themeColor="text1"/>
          <w:sz w:val="17"/>
          <w:szCs w:val="17"/>
          <w:lang w:val="en-IN"/>
        </w:rPr>
        <w:t>Proceedings of the National Academy of Sciences</w:t>
      </w:r>
      <w:r w:rsidRPr="002F7029">
        <w:rPr>
          <w:rFonts w:ascii="Times New Roman" w:eastAsia="Times New Roman" w:hAnsi="Times New Roman" w:cs="Times New Roman"/>
          <w:bCs/>
          <w:color w:val="000000" w:themeColor="text1"/>
          <w:sz w:val="17"/>
          <w:szCs w:val="17"/>
          <w:lang w:val="en-IN"/>
        </w:rPr>
        <w:t xml:space="preserve">, </w:t>
      </w:r>
      <w:r w:rsidRPr="002F7029">
        <w:rPr>
          <w:rFonts w:ascii="Times New Roman" w:eastAsia="Times New Roman" w:hAnsi="Times New Roman" w:cs="Times New Roman"/>
          <w:bCs/>
          <w:i/>
          <w:iCs/>
          <w:color w:val="000000" w:themeColor="text1"/>
          <w:sz w:val="17"/>
          <w:szCs w:val="17"/>
          <w:lang w:val="en-IN"/>
        </w:rPr>
        <w:t>117</w:t>
      </w:r>
      <w:r w:rsidRPr="002F7029">
        <w:rPr>
          <w:rFonts w:ascii="Times New Roman" w:eastAsia="Times New Roman" w:hAnsi="Times New Roman" w:cs="Times New Roman"/>
          <w:bCs/>
          <w:color w:val="000000" w:themeColor="text1"/>
          <w:sz w:val="17"/>
          <w:szCs w:val="17"/>
          <w:lang w:val="en-IN"/>
        </w:rPr>
        <w:t xml:space="preserve">(22), 12192–12200. </w:t>
      </w:r>
      <w:hyperlink r:id="rId191">
        <w:r w:rsidRPr="002F7029">
          <w:rPr>
            <w:rStyle w:val="Hyperlink"/>
            <w:rFonts w:ascii="Times New Roman" w:eastAsia="Times New Roman" w:hAnsi="Times New Roman" w:cs="Times New Roman"/>
            <w:bCs/>
            <w:color w:val="000000" w:themeColor="text1"/>
            <w:sz w:val="17"/>
            <w:szCs w:val="17"/>
            <w:u w:val="none"/>
            <w:lang w:val="en-IN"/>
          </w:rPr>
          <w:t>https://doi.org/10.1073/pnas.1920816117</w:t>
        </w:r>
      </w:hyperlink>
    </w:p>
    <w:p w14:paraId="7F6DD12E" w14:textId="77777777" w:rsidR="00444654" w:rsidRPr="002F7029" w:rsidRDefault="00444654" w:rsidP="00B821B1">
      <w:pPr>
        <w:spacing w:after="0" w:line="240" w:lineRule="auto"/>
        <w:ind w:left="990" w:hanging="990"/>
        <w:jc w:val="both"/>
        <w:textAlignment w:val="top"/>
        <w:rPr>
          <w:rFonts w:ascii="Times New Roman" w:eastAsia="Times New Roman" w:hAnsi="Times New Roman" w:cs="Times New Roman"/>
          <w:sz w:val="17"/>
          <w:szCs w:val="17"/>
        </w:rPr>
      </w:pPr>
    </w:p>
    <w:p w14:paraId="1672868E" w14:textId="3BF11818" w:rsidR="007E1ABC" w:rsidRPr="002F7029" w:rsidRDefault="00FF0385" w:rsidP="00B821B1">
      <w:pPr>
        <w:spacing w:after="0" w:line="240" w:lineRule="auto"/>
        <w:jc w:val="both"/>
        <w:rPr>
          <w:rFonts w:ascii="Times New Roman" w:eastAsia="Times New Roman" w:hAnsi="Times New Roman" w:cs="Times New Roman"/>
          <w:sz w:val="15"/>
          <w:szCs w:val="15"/>
        </w:rPr>
      </w:pPr>
      <w:r w:rsidRPr="002F7029">
        <w:rPr>
          <w:rFonts w:ascii="Times New Roman" w:eastAsia="Calibri" w:hAnsi="Times New Roman" w:cs="Times New Roman"/>
          <w:b/>
          <w:bCs/>
          <w:kern w:val="2"/>
          <w:sz w:val="15"/>
          <w:szCs w:val="15"/>
          <w:lang w:val="en-GB"/>
        </w:rPr>
        <w:t xml:space="preserve">Disclaimer/Publisher’s Note: </w:t>
      </w:r>
      <w:r w:rsidRPr="002F7029">
        <w:rPr>
          <w:rFonts w:ascii="Times New Roman" w:eastAsia="Calibri" w:hAnsi="Times New Roman" w:cs="Times New Roman"/>
          <w:kern w:val="2"/>
          <w:sz w:val="15"/>
          <w:szCs w:val="15"/>
          <w:lang w:val="en-GB"/>
        </w:rPr>
        <w:t>The statements, opinions and data contained in all publications are solely those of the individual author(s) and contributor(s) and not of the publisher and/or the editor(s). This publisher and/or the editor(s) disclaim responsibility for any injury to people or property resulting from any ideas, methods, instructions or products referred to in the content.</w:t>
      </w:r>
    </w:p>
    <w:p w14:paraId="42A0A41E" w14:textId="429F4A11" w:rsidR="00444654" w:rsidRPr="002F7029" w:rsidRDefault="00444654" w:rsidP="00B821B1">
      <w:pPr>
        <w:spacing w:after="0" w:line="240" w:lineRule="auto"/>
        <w:ind w:left="360" w:hanging="360"/>
        <w:jc w:val="both"/>
        <w:rPr>
          <w:rFonts w:ascii="Times New Roman" w:eastAsia="Times New Roman" w:hAnsi="Times New Roman" w:cs="Times New Roman"/>
          <w:sz w:val="20"/>
          <w:szCs w:val="20"/>
        </w:rPr>
      </w:pPr>
      <w:r w:rsidRPr="002F7029">
        <w:rPr>
          <w:rFonts w:ascii="Times New Roman" w:eastAsia="Times New Roman" w:hAnsi="Times New Roman" w:cs="Times New Roman"/>
          <w:sz w:val="20"/>
          <w:szCs w:val="20"/>
        </w:rPr>
        <w:t>______________________</w:t>
      </w:r>
      <w:r w:rsidR="00021DF1" w:rsidRPr="002F7029">
        <w:rPr>
          <w:rFonts w:ascii="Times New Roman" w:eastAsia="Times New Roman" w:hAnsi="Times New Roman" w:cs="Times New Roman"/>
          <w:sz w:val="20"/>
          <w:szCs w:val="20"/>
        </w:rPr>
        <w:t>________</w:t>
      </w:r>
      <w:r w:rsidRPr="002F7029">
        <w:rPr>
          <w:rFonts w:ascii="Times New Roman" w:eastAsia="Times New Roman" w:hAnsi="Times New Roman" w:cs="Times New Roman"/>
          <w:sz w:val="20"/>
          <w:szCs w:val="20"/>
        </w:rPr>
        <w:t>___________________________________________________</w:t>
      </w:r>
      <w:r w:rsidR="00AA1227" w:rsidRPr="002F7029">
        <w:rPr>
          <w:rFonts w:ascii="Times New Roman" w:eastAsia="Times New Roman" w:hAnsi="Times New Roman" w:cs="Times New Roman"/>
          <w:sz w:val="20"/>
          <w:szCs w:val="20"/>
        </w:rPr>
        <w:t>_________</w:t>
      </w:r>
    </w:p>
    <w:p w14:paraId="27C4E506" w14:textId="5B987118" w:rsidR="00B552F7" w:rsidRPr="002F7029" w:rsidRDefault="00EA2261" w:rsidP="00B821B1">
      <w:pPr>
        <w:spacing w:after="0" w:line="240" w:lineRule="auto"/>
        <w:jc w:val="both"/>
        <w:rPr>
          <w:rFonts w:ascii="Times New Roman" w:eastAsia="Calibri" w:hAnsi="Times New Roman" w:cs="Times New Roman"/>
          <w:i/>
          <w:iCs/>
          <w:kern w:val="2"/>
          <w:sz w:val="16"/>
          <w:szCs w:val="16"/>
          <w:lang w:val="en-GB"/>
        </w:rPr>
      </w:pPr>
      <w:r w:rsidRPr="002F7029">
        <w:rPr>
          <w:rFonts w:ascii="Times New Roman" w:eastAsia="Calibri" w:hAnsi="Times New Roman" w:cs="Times New Roman"/>
          <w:i/>
          <w:iCs/>
          <w:kern w:val="2"/>
          <w:sz w:val="16"/>
          <w:szCs w:val="16"/>
          <w:lang w:val="en-GB"/>
        </w:rPr>
        <w:t>© Copyright (202</w:t>
      </w:r>
      <w:r w:rsidR="00B66F30" w:rsidRPr="002F7029">
        <w:rPr>
          <w:rFonts w:ascii="Times New Roman" w:eastAsia="Calibri" w:hAnsi="Times New Roman" w:cs="Times New Roman"/>
          <w:i/>
          <w:iCs/>
          <w:kern w:val="2"/>
          <w:sz w:val="16"/>
          <w:szCs w:val="16"/>
          <w:lang w:val="en-GB"/>
        </w:rPr>
        <w:t>6</w:t>
      </w:r>
      <w:r w:rsidRPr="002F7029">
        <w:rPr>
          <w:rFonts w:ascii="Times New Roman" w:eastAsia="Calibri" w:hAnsi="Times New Roman" w:cs="Times New Roman"/>
          <w:i/>
          <w:iCs/>
          <w:kern w:val="2"/>
          <w:sz w:val="16"/>
          <w:szCs w:val="16"/>
          <w:lang w:val="en-GB"/>
        </w:rPr>
        <w:t>): Author(s). The licensee is the journal publisher. This is an Open Access article distributed under the terms of the Creative Commons Attribution License (</w:t>
      </w:r>
      <w:r w:rsidRPr="002F7029">
        <w:rPr>
          <w:rFonts w:ascii="Times New Roman" w:eastAsia="Calibri" w:hAnsi="Times New Roman" w:cs="Times New Roman"/>
          <w:i/>
          <w:iCs/>
          <w:color w:val="0000FF"/>
          <w:kern w:val="2"/>
          <w:sz w:val="16"/>
          <w:szCs w:val="16"/>
          <w:lang w:val="en-GB"/>
        </w:rPr>
        <w:t>http://creativecommons.org/licenses/by/4.0</w:t>
      </w:r>
      <w:r w:rsidRPr="002F7029">
        <w:rPr>
          <w:rFonts w:ascii="Times New Roman" w:eastAsia="Calibri" w:hAnsi="Times New Roman" w:cs="Times New Roman"/>
          <w:i/>
          <w:iCs/>
          <w:kern w:val="2"/>
          <w:sz w:val="16"/>
          <w:szCs w:val="16"/>
          <w:lang w:val="en-GB"/>
        </w:rPr>
        <w:t>), which permits unrestricted use, distribution, and reproduction in any medium, provided the original work is properly cited.</w:t>
      </w:r>
    </w:p>
    <w:p w14:paraId="2308CB60" w14:textId="77777777" w:rsidR="00934ADA" w:rsidRPr="002F7029" w:rsidRDefault="00934ADA" w:rsidP="00B821B1">
      <w:pPr>
        <w:spacing w:after="0" w:line="240" w:lineRule="auto"/>
        <w:jc w:val="both"/>
        <w:rPr>
          <w:rFonts w:ascii="Times New Roman" w:eastAsia="Calibri" w:hAnsi="Times New Roman" w:cs="Times New Roman"/>
          <w:kern w:val="2"/>
          <w:sz w:val="20"/>
          <w:szCs w:val="20"/>
          <w:lang w:val="en-GB"/>
        </w:rPr>
      </w:pPr>
    </w:p>
    <w:p w14:paraId="6FB93B52" w14:textId="77777777" w:rsidR="00934ADA" w:rsidRPr="002F7029" w:rsidRDefault="00934ADA" w:rsidP="00B821B1">
      <w:pPr>
        <w:spacing w:after="0" w:line="240" w:lineRule="auto"/>
        <w:jc w:val="both"/>
        <w:rPr>
          <w:rFonts w:ascii="Times New Roman" w:eastAsia="Calibri" w:hAnsi="Times New Roman" w:cs="Times New Roman"/>
          <w:kern w:val="2"/>
          <w:sz w:val="20"/>
          <w:szCs w:val="20"/>
          <w:lang w:val="en-GB"/>
        </w:rPr>
      </w:pPr>
    </w:p>
    <w:p w14:paraId="335830FC" w14:textId="77777777" w:rsidR="00934ADA" w:rsidRPr="009506F4" w:rsidRDefault="00934ADA" w:rsidP="00B821B1">
      <w:pPr>
        <w:pStyle w:val="FrameContents"/>
        <w:spacing w:after="0" w:line="240" w:lineRule="auto"/>
        <w:rPr>
          <w:rFonts w:ascii="Times New Roman" w:hAnsi="Times New Roman" w:cs="Times New Roman"/>
          <w:b/>
          <w:bCs/>
          <w:i/>
          <w:sz w:val="17"/>
          <w:szCs w:val="17"/>
        </w:rPr>
      </w:pPr>
      <w:r w:rsidRPr="002F7029">
        <w:rPr>
          <w:rFonts w:ascii="Times New Roman" w:hAnsi="Times New Roman" w:cs="Times New Roman"/>
          <w:b/>
          <w:bCs/>
          <w:i/>
          <w:sz w:val="17"/>
          <w:szCs w:val="17"/>
        </w:rPr>
        <w:t>Peer-review history:</w:t>
      </w:r>
    </w:p>
    <w:p w14:paraId="2E6845CA" w14:textId="4AA2D3B9" w:rsidR="00934ADA" w:rsidRPr="009506F4" w:rsidRDefault="00934ADA" w:rsidP="00B821B1">
      <w:pPr>
        <w:spacing w:after="0" w:line="240" w:lineRule="auto"/>
        <w:jc w:val="both"/>
        <w:rPr>
          <w:rFonts w:ascii="Times New Roman" w:hAnsi="Times New Roman" w:cs="Times New Roman"/>
          <w:sz w:val="20"/>
          <w:szCs w:val="20"/>
        </w:rPr>
      </w:pPr>
      <w:r w:rsidRPr="009506F4">
        <w:rPr>
          <w:rFonts w:ascii="Times New Roman" w:hAnsi="Times New Roman" w:cs="Times New Roman"/>
          <w:i/>
          <w:sz w:val="17"/>
          <w:szCs w:val="17"/>
        </w:rPr>
        <w:t>The peer review history for this paper can be accessed here:</w:t>
      </w:r>
      <w:r w:rsidR="009506F4" w:rsidRPr="009506F4">
        <w:t xml:space="preserve"> </w:t>
      </w:r>
      <w:hyperlink r:id="rId192" w:history="1">
        <w:r w:rsidR="009506F4" w:rsidRPr="009506F4">
          <w:rPr>
            <w:rStyle w:val="Hyperlink"/>
            <w:rFonts w:ascii="Times New Roman" w:hAnsi="Times New Roman" w:cs="Times New Roman"/>
            <w:i/>
            <w:sz w:val="17"/>
            <w:szCs w:val="17"/>
            <w:u w:val="none"/>
          </w:rPr>
          <w:t>https://pr.sdiarticle5.com/review-history/168781</w:t>
        </w:r>
      </w:hyperlink>
      <w:r w:rsidR="009506F4" w:rsidRPr="009506F4">
        <w:rPr>
          <w:rFonts w:ascii="Times New Roman" w:hAnsi="Times New Roman" w:cs="Times New Roman"/>
          <w:i/>
          <w:sz w:val="17"/>
          <w:szCs w:val="17"/>
        </w:rPr>
        <w:t xml:space="preserve"> </w:t>
      </w:r>
    </w:p>
    <w:sectPr w:rsidR="00934ADA" w:rsidRPr="009506F4" w:rsidSect="004F6249">
      <w:pgSz w:w="11909" w:h="16834" w:code="9"/>
      <w:pgMar w:top="144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0F46A" w14:textId="77777777" w:rsidR="000F625A" w:rsidRDefault="000F625A" w:rsidP="004336DD">
      <w:pPr>
        <w:spacing w:after="0" w:line="240" w:lineRule="auto"/>
      </w:pPr>
      <w:r>
        <w:separator/>
      </w:r>
    </w:p>
  </w:endnote>
  <w:endnote w:type="continuationSeparator" w:id="0">
    <w:p w14:paraId="7BE203DD" w14:textId="77777777" w:rsidR="000F625A" w:rsidRDefault="000F625A" w:rsidP="00433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AA4B4" w14:textId="77777777" w:rsidR="00B03434" w:rsidRPr="00AA1227" w:rsidRDefault="00B03434">
    <w:pPr>
      <w:pStyle w:val="Footer"/>
      <w:jc w:val="center"/>
      <w:rPr>
        <w:rFonts w:ascii="Times New Roman" w:hAnsi="Times New Roman" w:cs="Times New Roman"/>
        <w:sz w:val="28"/>
      </w:rPr>
    </w:pPr>
  </w:p>
  <w:p w14:paraId="190D56C0" w14:textId="77777777" w:rsidR="00B03434" w:rsidRPr="00AA1227" w:rsidRDefault="00000000">
    <w:pPr>
      <w:pStyle w:val="Footer"/>
      <w:jc w:val="center"/>
      <w:rPr>
        <w:rFonts w:ascii="Times New Roman" w:hAnsi="Times New Roman" w:cs="Times New Roman"/>
        <w:sz w:val="20"/>
      </w:rPr>
    </w:pPr>
    <w:sdt>
      <w:sdtPr>
        <w:rPr>
          <w:rFonts w:ascii="Times New Roman" w:hAnsi="Times New Roman" w:cs="Times New Roman"/>
          <w:sz w:val="20"/>
        </w:rPr>
        <w:id w:val="2976702"/>
        <w:docPartObj>
          <w:docPartGallery w:val="Page Numbers (Bottom of Page)"/>
          <w:docPartUnique/>
        </w:docPartObj>
      </w:sdtPr>
      <w:sdtContent>
        <w:r w:rsidR="00375899" w:rsidRPr="00AA1227">
          <w:rPr>
            <w:rFonts w:ascii="Times New Roman" w:hAnsi="Times New Roman" w:cs="Times New Roman"/>
            <w:sz w:val="20"/>
          </w:rPr>
          <w:fldChar w:fldCharType="begin"/>
        </w:r>
        <w:r w:rsidR="00987EC7" w:rsidRPr="00AA1227">
          <w:rPr>
            <w:rFonts w:ascii="Times New Roman" w:hAnsi="Times New Roman" w:cs="Times New Roman"/>
            <w:sz w:val="20"/>
          </w:rPr>
          <w:instrText xml:space="preserve"> PAGE   \* MERGEFORMAT </w:instrText>
        </w:r>
        <w:r w:rsidR="00375899" w:rsidRPr="00AA1227">
          <w:rPr>
            <w:rFonts w:ascii="Times New Roman" w:hAnsi="Times New Roman" w:cs="Times New Roman"/>
            <w:sz w:val="20"/>
          </w:rPr>
          <w:fldChar w:fldCharType="separate"/>
        </w:r>
        <w:r w:rsidR="001A3698" w:rsidRPr="00AA1227">
          <w:rPr>
            <w:rFonts w:ascii="Times New Roman" w:hAnsi="Times New Roman" w:cs="Times New Roman"/>
            <w:noProof/>
            <w:sz w:val="20"/>
          </w:rPr>
          <w:t>10</w:t>
        </w:r>
        <w:r w:rsidR="00375899" w:rsidRPr="00AA1227">
          <w:rPr>
            <w:rFonts w:ascii="Times New Roman" w:hAnsi="Times New Roman" w:cs="Times New Roman"/>
            <w:sz w:val="20"/>
          </w:rPr>
          <w:fldChar w:fldCharType="end"/>
        </w:r>
      </w:sdtContent>
    </w:sdt>
  </w:p>
  <w:p w14:paraId="2FC5B08F" w14:textId="77777777" w:rsidR="00D610E0" w:rsidRPr="00AA1227" w:rsidRDefault="00D610E0">
    <w:pPr>
      <w:pStyle w:val="Footer"/>
      <w:jc w:val="center"/>
      <w:rPr>
        <w:rFonts w:ascii="Times New Roman" w:hAnsi="Times New Roman" w:cs="Times New Roman"/>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26B25" w14:textId="6928814F" w:rsidR="00B552F7" w:rsidRPr="00AA1227" w:rsidRDefault="00B552F7" w:rsidP="00B552F7">
    <w:pPr>
      <w:tabs>
        <w:tab w:val="center" w:pos="4320"/>
        <w:tab w:val="right" w:pos="8640"/>
      </w:tabs>
      <w:spacing w:after="0" w:line="240" w:lineRule="auto"/>
      <w:rPr>
        <w:rFonts w:ascii="Times New Roman" w:eastAsia="Times New Roman" w:hAnsi="Times New Roman" w:cs="Times New Roman"/>
        <w:sz w:val="16"/>
        <w:szCs w:val="20"/>
      </w:rPr>
    </w:pPr>
    <w:r w:rsidRPr="00AA1227">
      <w:rPr>
        <w:rFonts w:ascii="Times New Roman" w:eastAsia="Times New Roman" w:hAnsi="Times New Roman" w:cs="Times New Roman"/>
        <w:sz w:val="16"/>
        <w:szCs w:val="20"/>
      </w:rPr>
      <w:t>_____________________________________________________________________________________________________</w:t>
    </w:r>
    <w:r w:rsidR="00AA1227">
      <w:rPr>
        <w:rFonts w:ascii="Times New Roman" w:eastAsia="Times New Roman" w:hAnsi="Times New Roman" w:cs="Times New Roman"/>
        <w:sz w:val="16"/>
        <w:szCs w:val="20"/>
      </w:rPr>
      <w:t>___________</w:t>
    </w:r>
  </w:p>
  <w:p w14:paraId="53753DB0" w14:textId="77777777" w:rsidR="00B552F7" w:rsidRDefault="00B552F7" w:rsidP="00B552F7">
    <w:pPr>
      <w:tabs>
        <w:tab w:val="center" w:pos="4320"/>
        <w:tab w:val="right" w:pos="8640"/>
      </w:tabs>
      <w:spacing w:after="0" w:line="240" w:lineRule="auto"/>
      <w:rPr>
        <w:rFonts w:ascii="Times New Roman" w:eastAsia="Times New Roman" w:hAnsi="Times New Roman" w:cs="Times New Roman"/>
        <w:i/>
        <w:sz w:val="16"/>
        <w:szCs w:val="20"/>
      </w:rPr>
    </w:pPr>
  </w:p>
  <w:p w14:paraId="6ED7E76F" w14:textId="5CCEB71C" w:rsidR="006F1B1A" w:rsidRPr="00AA1227" w:rsidRDefault="006F1B1A" w:rsidP="00B552F7">
    <w:pPr>
      <w:tabs>
        <w:tab w:val="center" w:pos="4320"/>
        <w:tab w:val="right" w:pos="8640"/>
      </w:tabs>
      <w:spacing w:after="0" w:line="240" w:lineRule="auto"/>
      <w:rPr>
        <w:rFonts w:ascii="Times New Roman" w:eastAsia="Times New Roman" w:hAnsi="Times New Roman" w:cs="Times New Roman"/>
        <w:i/>
        <w:sz w:val="16"/>
        <w:szCs w:val="20"/>
      </w:rPr>
    </w:pPr>
    <w:r w:rsidRPr="006F1B1A">
      <w:rPr>
        <w:rFonts w:ascii="Times New Roman" w:eastAsia="Times New Roman" w:hAnsi="Times New Roman" w:cs="Times New Roman"/>
        <w:i/>
        <w:sz w:val="16"/>
        <w:szCs w:val="20"/>
        <w:vertAlign w:val="superscript"/>
      </w:rPr>
      <w:t>++</w:t>
    </w:r>
    <w:r>
      <w:rPr>
        <w:rFonts w:ascii="Times New Roman" w:eastAsia="Times New Roman" w:hAnsi="Times New Roman" w:cs="Times New Roman"/>
        <w:i/>
        <w:sz w:val="16"/>
        <w:szCs w:val="20"/>
      </w:rPr>
      <w:t xml:space="preserve"> </w:t>
    </w:r>
    <w:r w:rsidRPr="006F1B1A">
      <w:rPr>
        <w:rFonts w:ascii="Times New Roman" w:eastAsia="Times New Roman" w:hAnsi="Times New Roman" w:cs="Times New Roman"/>
        <w:i/>
        <w:sz w:val="16"/>
        <w:szCs w:val="20"/>
        <w:lang w:val="en-IN"/>
      </w:rPr>
      <w:t>PhD Scholar</w:t>
    </w:r>
    <w:r>
      <w:rPr>
        <w:rFonts w:ascii="Times New Roman" w:eastAsia="Times New Roman" w:hAnsi="Times New Roman" w:cs="Times New Roman"/>
        <w:i/>
        <w:sz w:val="16"/>
        <w:szCs w:val="20"/>
        <w:lang w:val="en-IN"/>
      </w:rPr>
      <w:t>;</w:t>
    </w:r>
  </w:p>
  <w:p w14:paraId="53CC5B35" w14:textId="42040141" w:rsidR="00B552F7" w:rsidRPr="00AA1227" w:rsidRDefault="00B552F7" w:rsidP="00B552F7">
    <w:pPr>
      <w:tabs>
        <w:tab w:val="center" w:pos="4320"/>
        <w:tab w:val="right" w:pos="8640"/>
      </w:tabs>
      <w:spacing w:after="0" w:line="240" w:lineRule="auto"/>
      <w:jc w:val="both"/>
      <w:rPr>
        <w:rFonts w:ascii="Times New Roman" w:eastAsia="Times New Roman" w:hAnsi="Times New Roman" w:cs="Times New Roman"/>
        <w:i/>
        <w:sz w:val="16"/>
        <w:szCs w:val="16"/>
      </w:rPr>
    </w:pPr>
    <w:r w:rsidRPr="00AA1227">
      <w:rPr>
        <w:rFonts w:ascii="Times New Roman" w:eastAsia="Times New Roman" w:hAnsi="Times New Roman" w:cs="Times New Roman"/>
        <w:i/>
        <w:sz w:val="16"/>
        <w:szCs w:val="16"/>
      </w:rPr>
      <w:t>*Corresponding author: E-mail:</w:t>
    </w:r>
    <w:r w:rsidR="006F1B1A">
      <w:rPr>
        <w:rFonts w:ascii="Times New Roman" w:eastAsia="Times New Roman" w:hAnsi="Times New Roman" w:cs="Times New Roman"/>
        <w:i/>
        <w:sz w:val="16"/>
        <w:szCs w:val="16"/>
      </w:rPr>
      <w:t xml:space="preserve"> </w:t>
    </w:r>
    <w:r w:rsidR="006F1B1A" w:rsidRPr="006F1B1A">
      <w:rPr>
        <w:rFonts w:ascii="Times New Roman" w:eastAsia="Times New Roman" w:hAnsi="Times New Roman" w:cs="Times New Roman"/>
        <w:i/>
        <w:sz w:val="16"/>
        <w:szCs w:val="16"/>
      </w:rPr>
      <w:t>Priyankahugar1997@gmail.com</w:t>
    </w:r>
    <w:r w:rsidRPr="00AA1227">
      <w:rPr>
        <w:rFonts w:ascii="Times New Roman" w:eastAsia="Times New Roman" w:hAnsi="Times New Roman" w:cs="Times New Roman"/>
        <w:i/>
        <w:sz w:val="16"/>
        <w:szCs w:val="16"/>
      </w:rPr>
      <w:t>;</w:t>
    </w:r>
  </w:p>
  <w:p w14:paraId="61D3EB06" w14:textId="77777777" w:rsidR="00593918" w:rsidRPr="00AA1227" w:rsidRDefault="00593918" w:rsidP="00B552F7">
    <w:pPr>
      <w:tabs>
        <w:tab w:val="center" w:pos="4320"/>
        <w:tab w:val="right" w:pos="8640"/>
      </w:tabs>
      <w:spacing w:after="0" w:line="240" w:lineRule="auto"/>
      <w:jc w:val="both"/>
      <w:rPr>
        <w:rFonts w:ascii="Times New Roman" w:eastAsia="Times New Roman" w:hAnsi="Times New Roman" w:cs="Times New Roman"/>
        <w:i/>
        <w:sz w:val="16"/>
        <w:szCs w:val="16"/>
      </w:rPr>
    </w:pPr>
  </w:p>
  <w:p w14:paraId="1E73F770" w14:textId="57295FF5" w:rsidR="00FF0385" w:rsidRPr="008D44F6" w:rsidRDefault="00DA0CC2" w:rsidP="008D44F6">
    <w:pPr>
      <w:pStyle w:val="Footer"/>
      <w:rPr>
        <w:rFonts w:ascii="Times New Roman" w:hAnsi="Times New Roman" w:cs="Times New Roman"/>
        <w:b/>
        <w:bCs/>
        <w:i/>
        <w:sz w:val="16"/>
      </w:rPr>
    </w:pPr>
    <w:r w:rsidRPr="00AA1227">
      <w:rPr>
        <w:rFonts w:ascii="Times New Roman" w:hAnsi="Times New Roman" w:cs="Times New Roman"/>
        <w:b/>
        <w:bCs/>
        <w:i/>
        <w:sz w:val="16"/>
      </w:rPr>
      <w:t>Cite as:</w:t>
    </w:r>
    <w:r w:rsidR="008D44F6">
      <w:rPr>
        <w:rFonts w:ascii="Times New Roman" w:hAnsi="Times New Roman" w:cs="Times New Roman"/>
        <w:b/>
        <w:bCs/>
        <w:i/>
        <w:sz w:val="16"/>
      </w:rPr>
      <w:t xml:space="preserve"> </w:t>
    </w:r>
    <w:r w:rsidR="008D44F6" w:rsidRPr="008D44F6">
      <w:rPr>
        <w:rFonts w:ascii="Times New Roman" w:hAnsi="Times New Roman" w:cs="Times New Roman"/>
        <w:i/>
        <w:sz w:val="16"/>
      </w:rPr>
      <w:t>Hugar, P., Chandana, B. S., Shekar, R. R., Kusuma, N. V., &amp; Mounik, A. (2026). Climate-resilient Fruit Production: Integrating Genetics, Rootstocks, Canopy Management and Water-Smart Horticulture. Journal of Advances in Biology &amp; Biotechnology, 29(11), 765–794. https://doi.org/10.9734/jabb/2026/v29i114623</w:t>
    </w:r>
  </w:p>
  <w:p w14:paraId="19EC3F2A" w14:textId="6EE83B0A" w:rsidR="00593918" w:rsidRPr="00AA1227" w:rsidRDefault="00593918" w:rsidP="00B552F7">
    <w:pPr>
      <w:tabs>
        <w:tab w:val="center" w:pos="4320"/>
        <w:tab w:val="right" w:pos="8640"/>
      </w:tabs>
      <w:spacing w:after="0" w:line="240" w:lineRule="auto"/>
      <w:jc w:val="both"/>
      <w:rPr>
        <w:rFonts w:ascii="Times New Roman" w:eastAsia="Times New Roman" w:hAnsi="Times New Roman" w:cs="Times New Roman"/>
        <w:i/>
        <w:sz w:val="16"/>
        <w:szCs w:val="16"/>
      </w:rPr>
    </w:pPr>
  </w:p>
  <w:p w14:paraId="173FFD03" w14:textId="77777777" w:rsidR="00B03434" w:rsidRPr="00AA1227" w:rsidRDefault="00B03434" w:rsidP="00B552F7">
    <w:pPr>
      <w:tabs>
        <w:tab w:val="center" w:pos="4320"/>
        <w:tab w:val="right" w:pos="8640"/>
      </w:tabs>
      <w:spacing w:after="0" w:line="240" w:lineRule="auto"/>
      <w:jc w:val="both"/>
      <w:rPr>
        <w:rFonts w:ascii="Times New Roman" w:eastAsia="Times New Roman" w:hAnsi="Times New Roman" w:cs="Times New Roman"/>
        <w:i/>
        <w:sz w:val="20"/>
        <w:szCs w:val="16"/>
      </w:rPr>
    </w:pPr>
  </w:p>
  <w:p w14:paraId="0CDA0BE6" w14:textId="77777777" w:rsidR="00A33CB2" w:rsidRPr="00AA1227" w:rsidRDefault="00A33CB2" w:rsidP="00B552F7">
    <w:pPr>
      <w:tabs>
        <w:tab w:val="center" w:pos="4320"/>
        <w:tab w:val="right" w:pos="8640"/>
      </w:tabs>
      <w:spacing w:after="0" w:line="240" w:lineRule="auto"/>
      <w:jc w:val="both"/>
      <w:rPr>
        <w:rFonts w:ascii="Times New Roman" w:eastAsia="Times New Roman" w:hAnsi="Times New Roman" w:cs="Times New Roman"/>
        <w:i/>
        <w:sz w:val="2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C839F" w14:textId="77777777" w:rsidR="000F625A" w:rsidRDefault="000F625A" w:rsidP="004336DD">
      <w:pPr>
        <w:spacing w:after="0" w:line="240" w:lineRule="auto"/>
      </w:pPr>
      <w:r>
        <w:separator/>
      </w:r>
    </w:p>
  </w:footnote>
  <w:footnote w:type="continuationSeparator" w:id="0">
    <w:p w14:paraId="639562AB" w14:textId="77777777" w:rsidR="000F625A" w:rsidRDefault="000F625A" w:rsidP="004336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CCC59" w14:textId="5840EEC5" w:rsidR="006C56FD" w:rsidRPr="00AA1227" w:rsidRDefault="006C56FD" w:rsidP="006C56FD">
    <w:pPr>
      <w:tabs>
        <w:tab w:val="center" w:pos="4320"/>
        <w:tab w:val="right" w:pos="8640"/>
      </w:tabs>
      <w:spacing w:after="0" w:line="240" w:lineRule="auto"/>
      <w:jc w:val="right"/>
      <w:rPr>
        <w:rFonts w:ascii="Times New Roman" w:eastAsia="Times New Roman" w:hAnsi="Times New Roman" w:cs="Times New Roman"/>
        <w:i/>
        <w:sz w:val="16"/>
        <w:szCs w:val="20"/>
        <w:highlight w:val="yellow"/>
      </w:rPr>
    </w:pPr>
  </w:p>
  <w:p w14:paraId="6BB83AEF" w14:textId="77777777" w:rsidR="006C56FD" w:rsidRPr="00AA1227" w:rsidRDefault="006C56FD" w:rsidP="006C56FD">
    <w:pPr>
      <w:tabs>
        <w:tab w:val="center" w:pos="4320"/>
        <w:tab w:val="right" w:pos="8640"/>
      </w:tabs>
      <w:spacing w:after="0" w:line="240" w:lineRule="auto"/>
      <w:jc w:val="right"/>
      <w:rPr>
        <w:rFonts w:ascii="Times New Roman" w:eastAsia="Times New Roman" w:hAnsi="Times New Roman" w:cs="Times New Roman"/>
        <w:i/>
        <w:sz w:val="16"/>
        <w:szCs w:val="20"/>
        <w:highlight w:val="yellow"/>
      </w:rPr>
    </w:pPr>
  </w:p>
  <w:p w14:paraId="15B9E367" w14:textId="77777777" w:rsidR="006C56FD" w:rsidRPr="00AA1227" w:rsidRDefault="006C56FD" w:rsidP="006C56FD">
    <w:pPr>
      <w:tabs>
        <w:tab w:val="center" w:pos="4320"/>
        <w:tab w:val="right" w:pos="8640"/>
      </w:tabs>
      <w:spacing w:after="0" w:line="240" w:lineRule="auto"/>
      <w:jc w:val="right"/>
      <w:rPr>
        <w:rFonts w:ascii="Times New Roman" w:eastAsia="Times New Roman" w:hAnsi="Times New Roman" w:cs="Times New Roman"/>
        <w:i/>
        <w:sz w:val="16"/>
        <w:szCs w:val="20"/>
        <w:highlight w:val="yellow"/>
      </w:rPr>
    </w:pPr>
  </w:p>
  <w:p w14:paraId="1755B492" w14:textId="77777777" w:rsidR="006C56FD" w:rsidRPr="00AA1227" w:rsidRDefault="006C56FD" w:rsidP="006C56FD">
    <w:pPr>
      <w:tabs>
        <w:tab w:val="center" w:pos="4320"/>
        <w:tab w:val="right" w:pos="8640"/>
      </w:tabs>
      <w:spacing w:after="0" w:line="240" w:lineRule="auto"/>
      <w:jc w:val="right"/>
      <w:rPr>
        <w:rFonts w:ascii="Times New Roman" w:eastAsia="Times New Roman" w:hAnsi="Times New Roman" w:cs="Times New Roman"/>
        <w:i/>
        <w:sz w:val="16"/>
        <w:szCs w:val="20"/>
        <w:highlight w:val="yellow"/>
      </w:rPr>
    </w:pPr>
  </w:p>
  <w:p w14:paraId="4DFD09D3" w14:textId="30AA89AE" w:rsidR="006C56FD" w:rsidRPr="00AA1227" w:rsidRDefault="006F1B1A" w:rsidP="006C56FD">
    <w:pPr>
      <w:tabs>
        <w:tab w:val="center" w:pos="4320"/>
        <w:tab w:val="right" w:pos="8640"/>
      </w:tabs>
      <w:spacing w:after="0" w:line="240" w:lineRule="auto"/>
      <w:jc w:val="right"/>
      <w:rPr>
        <w:rFonts w:ascii="Times New Roman" w:eastAsia="Times New Roman" w:hAnsi="Times New Roman" w:cs="Times New Roman"/>
        <w:i/>
        <w:sz w:val="16"/>
        <w:szCs w:val="20"/>
      </w:rPr>
    </w:pPr>
    <w:r w:rsidRPr="006F1B1A">
      <w:rPr>
        <w:rFonts w:ascii="Times New Roman" w:eastAsia="Times New Roman" w:hAnsi="Times New Roman" w:cs="Times New Roman"/>
        <w:i/>
        <w:sz w:val="16"/>
        <w:szCs w:val="20"/>
        <w:lang w:val="nl-BE"/>
      </w:rPr>
      <w:t>Hugar et al.</w:t>
    </w:r>
    <w:r w:rsidR="000115AF" w:rsidRPr="006F1B1A">
      <w:rPr>
        <w:rFonts w:ascii="Times New Roman" w:eastAsia="Times New Roman" w:hAnsi="Times New Roman" w:cs="Times New Roman"/>
        <w:i/>
        <w:sz w:val="16"/>
        <w:szCs w:val="20"/>
        <w:lang w:val="nl-BE"/>
      </w:rPr>
      <w:t xml:space="preserve">; </w:t>
    </w:r>
    <w:r w:rsidR="00593918" w:rsidRPr="006F1B1A">
      <w:rPr>
        <w:rFonts w:ascii="Times New Roman" w:eastAsia="Times New Roman" w:hAnsi="Times New Roman" w:cs="Times New Roman"/>
        <w:i/>
        <w:sz w:val="16"/>
        <w:szCs w:val="20"/>
        <w:lang w:val="nl-BE"/>
      </w:rPr>
      <w:t xml:space="preserve">J. Adv. </w:t>
    </w:r>
    <w:r w:rsidR="00593918" w:rsidRPr="00AA1227">
      <w:rPr>
        <w:rFonts w:ascii="Times New Roman" w:eastAsia="Times New Roman" w:hAnsi="Times New Roman" w:cs="Times New Roman"/>
        <w:i/>
        <w:sz w:val="16"/>
        <w:szCs w:val="20"/>
      </w:rPr>
      <w:t xml:space="preserve">Biol. </w:t>
    </w:r>
    <w:proofErr w:type="spellStart"/>
    <w:r w:rsidR="00593918" w:rsidRPr="00AA1227">
      <w:rPr>
        <w:rFonts w:ascii="Times New Roman" w:eastAsia="Times New Roman" w:hAnsi="Times New Roman" w:cs="Times New Roman"/>
        <w:i/>
        <w:sz w:val="16"/>
        <w:szCs w:val="20"/>
      </w:rPr>
      <w:t>Biotechnol</w:t>
    </w:r>
    <w:proofErr w:type="spellEnd"/>
    <w:r w:rsidR="00593918" w:rsidRPr="00AA1227">
      <w:rPr>
        <w:rFonts w:ascii="Times New Roman" w:eastAsia="Times New Roman" w:hAnsi="Times New Roman" w:cs="Times New Roman"/>
        <w:i/>
        <w:sz w:val="16"/>
        <w:szCs w:val="20"/>
      </w:rPr>
      <w:t xml:space="preserve">., vol. </w:t>
    </w:r>
    <w:r w:rsidR="009506F4">
      <w:rPr>
        <w:rFonts w:ascii="Times New Roman" w:eastAsia="Times New Roman" w:hAnsi="Times New Roman" w:cs="Times New Roman"/>
        <w:i/>
        <w:sz w:val="16"/>
        <w:szCs w:val="20"/>
      </w:rPr>
      <w:t>29</w:t>
    </w:r>
    <w:r w:rsidR="00593918" w:rsidRPr="00AA1227">
      <w:rPr>
        <w:rFonts w:ascii="Times New Roman" w:eastAsia="Times New Roman" w:hAnsi="Times New Roman" w:cs="Times New Roman"/>
        <w:i/>
        <w:sz w:val="16"/>
        <w:szCs w:val="20"/>
      </w:rPr>
      <w:t xml:space="preserve">, no. </w:t>
    </w:r>
    <w:r w:rsidR="009506F4">
      <w:rPr>
        <w:rFonts w:ascii="Times New Roman" w:eastAsia="Times New Roman" w:hAnsi="Times New Roman" w:cs="Times New Roman"/>
        <w:i/>
        <w:sz w:val="16"/>
        <w:szCs w:val="20"/>
      </w:rPr>
      <w:t>11</w:t>
    </w:r>
    <w:r w:rsidR="00593918" w:rsidRPr="00AA1227">
      <w:rPr>
        <w:rFonts w:ascii="Times New Roman" w:eastAsia="Times New Roman" w:hAnsi="Times New Roman" w:cs="Times New Roman"/>
        <w:i/>
        <w:sz w:val="16"/>
        <w:szCs w:val="20"/>
      </w:rPr>
      <w:t xml:space="preserve">, pp. </w:t>
    </w:r>
    <w:r w:rsidR="009506F4" w:rsidRPr="009506F4">
      <w:rPr>
        <w:rFonts w:ascii="Times New Roman" w:eastAsia="Times New Roman" w:hAnsi="Times New Roman" w:cs="Times New Roman"/>
        <w:i/>
        <w:sz w:val="16"/>
        <w:szCs w:val="20"/>
      </w:rPr>
      <w:t>765-794, 2026</w:t>
    </w:r>
    <w:r w:rsidR="000115AF" w:rsidRPr="00AA1227">
      <w:rPr>
        <w:rFonts w:ascii="Times New Roman" w:eastAsia="Times New Roman" w:hAnsi="Times New Roman" w:cs="Times New Roman"/>
        <w:i/>
        <w:sz w:val="16"/>
        <w:szCs w:val="20"/>
      </w:rPr>
      <w:t xml:space="preserve">; Article </w:t>
    </w:r>
    <w:proofErr w:type="gramStart"/>
    <w:r w:rsidR="000115AF" w:rsidRPr="00AA1227">
      <w:rPr>
        <w:rFonts w:ascii="Times New Roman" w:eastAsia="Times New Roman" w:hAnsi="Times New Roman" w:cs="Times New Roman"/>
        <w:i/>
        <w:sz w:val="16"/>
        <w:szCs w:val="20"/>
      </w:rPr>
      <w:t>no.JABB</w:t>
    </w:r>
    <w:proofErr w:type="gramEnd"/>
    <w:r>
      <w:rPr>
        <w:rFonts w:ascii="Times New Roman" w:eastAsia="Times New Roman" w:hAnsi="Times New Roman" w:cs="Times New Roman"/>
        <w:i/>
        <w:sz w:val="16"/>
        <w:szCs w:val="20"/>
      </w:rPr>
      <w:t>.</w:t>
    </w:r>
    <w:r w:rsidRPr="006F1B1A">
      <w:rPr>
        <w:rFonts w:ascii="Times New Roman" w:eastAsia="Times New Roman" w:hAnsi="Times New Roman" w:cs="Times New Roman"/>
        <w:i/>
        <w:sz w:val="16"/>
        <w:szCs w:val="20"/>
      </w:rPr>
      <w:t>168781</w:t>
    </w:r>
  </w:p>
  <w:p w14:paraId="7F6EB3BF" w14:textId="77777777" w:rsidR="000115AF" w:rsidRPr="00AA1227" w:rsidRDefault="000115AF" w:rsidP="006C56FD">
    <w:pPr>
      <w:tabs>
        <w:tab w:val="center" w:pos="4320"/>
        <w:tab w:val="right" w:pos="8640"/>
      </w:tabs>
      <w:spacing w:after="0" w:line="240" w:lineRule="auto"/>
      <w:jc w:val="right"/>
      <w:rPr>
        <w:rFonts w:ascii="Times New Roman" w:eastAsia="Times New Roman" w:hAnsi="Times New Roman" w:cs="Times New Roman"/>
        <w:i/>
        <w:sz w:val="16"/>
        <w:szCs w:val="20"/>
      </w:rPr>
    </w:pPr>
  </w:p>
  <w:p w14:paraId="54F2AD42" w14:textId="77777777" w:rsidR="006C56FD" w:rsidRPr="00AA1227" w:rsidRDefault="006C56FD" w:rsidP="006C56FD">
    <w:pPr>
      <w:tabs>
        <w:tab w:val="center" w:pos="4320"/>
        <w:tab w:val="right" w:pos="8640"/>
      </w:tabs>
      <w:spacing w:after="0" w:line="240" w:lineRule="auto"/>
      <w:jc w:val="right"/>
      <w:rPr>
        <w:rFonts w:ascii="Times New Roman" w:hAnsi="Times New Roman" w:cs="Times New Roman"/>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425D3"/>
    <w:multiLevelType w:val="hybridMultilevel"/>
    <w:tmpl w:val="7C462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8E335F"/>
    <w:multiLevelType w:val="hybridMultilevel"/>
    <w:tmpl w:val="DD70B3DC"/>
    <w:lvl w:ilvl="0" w:tplc="7578FD1E">
      <w:start w:val="1"/>
      <w:numFmt w:val="bullet"/>
      <w:lvlText w:val="●"/>
      <w:lvlJc w:val="left"/>
      <w:pPr>
        <w:ind w:left="720" w:hanging="360"/>
      </w:pPr>
    </w:lvl>
    <w:lvl w:ilvl="1" w:tplc="FA4E1E78">
      <w:start w:val="1"/>
      <w:numFmt w:val="bullet"/>
      <w:lvlText w:val="○"/>
      <w:lvlJc w:val="left"/>
      <w:pPr>
        <w:ind w:left="1440" w:hanging="360"/>
      </w:pPr>
    </w:lvl>
    <w:lvl w:ilvl="2" w:tplc="38EE67DE">
      <w:start w:val="1"/>
      <w:numFmt w:val="bullet"/>
      <w:lvlText w:val="■"/>
      <w:lvlJc w:val="left"/>
      <w:pPr>
        <w:ind w:left="2160" w:hanging="360"/>
      </w:pPr>
    </w:lvl>
    <w:lvl w:ilvl="3" w:tplc="2BEA0D12">
      <w:start w:val="1"/>
      <w:numFmt w:val="bullet"/>
      <w:lvlText w:val="●"/>
      <w:lvlJc w:val="left"/>
      <w:pPr>
        <w:ind w:left="2880" w:hanging="360"/>
      </w:pPr>
    </w:lvl>
    <w:lvl w:ilvl="4" w:tplc="A732B1AC">
      <w:start w:val="1"/>
      <w:numFmt w:val="bullet"/>
      <w:lvlText w:val="○"/>
      <w:lvlJc w:val="left"/>
      <w:pPr>
        <w:ind w:left="3600" w:hanging="360"/>
      </w:pPr>
    </w:lvl>
    <w:lvl w:ilvl="5" w:tplc="88FA75D4">
      <w:start w:val="1"/>
      <w:numFmt w:val="bullet"/>
      <w:lvlText w:val="■"/>
      <w:lvlJc w:val="left"/>
      <w:pPr>
        <w:ind w:left="4320" w:hanging="360"/>
      </w:pPr>
    </w:lvl>
    <w:lvl w:ilvl="6" w:tplc="B2584B4C">
      <w:start w:val="1"/>
      <w:numFmt w:val="bullet"/>
      <w:lvlText w:val="●"/>
      <w:lvlJc w:val="left"/>
      <w:pPr>
        <w:ind w:left="5040" w:hanging="360"/>
      </w:pPr>
    </w:lvl>
    <w:lvl w:ilvl="7" w:tplc="1D860722">
      <w:start w:val="1"/>
      <w:numFmt w:val="bullet"/>
      <w:lvlText w:val="●"/>
      <w:lvlJc w:val="left"/>
      <w:pPr>
        <w:ind w:left="5760" w:hanging="360"/>
      </w:pPr>
    </w:lvl>
    <w:lvl w:ilvl="8" w:tplc="F7700DE0">
      <w:start w:val="1"/>
      <w:numFmt w:val="bullet"/>
      <w:lvlText w:val="●"/>
      <w:lvlJc w:val="left"/>
      <w:pPr>
        <w:ind w:left="6480" w:hanging="360"/>
      </w:pPr>
    </w:lvl>
  </w:abstractNum>
  <w:abstractNum w:abstractNumId="2" w15:restartNumberingAfterBreak="0">
    <w:nsid w:val="77DC7F1A"/>
    <w:multiLevelType w:val="multilevel"/>
    <w:tmpl w:val="AAC2893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35560387">
    <w:abstractNumId w:val="2"/>
  </w:num>
  <w:num w:numId="2" w16cid:durableId="2094085009">
    <w:abstractNumId w:val="0"/>
  </w:num>
  <w:num w:numId="3" w16cid:durableId="114716948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71"/>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6E1FAF"/>
    <w:rsid w:val="000115AF"/>
    <w:rsid w:val="000119CB"/>
    <w:rsid w:val="00011A4C"/>
    <w:rsid w:val="0001220F"/>
    <w:rsid w:val="000167F8"/>
    <w:rsid w:val="00021DF1"/>
    <w:rsid w:val="0002278B"/>
    <w:rsid w:val="00023A16"/>
    <w:rsid w:val="00026167"/>
    <w:rsid w:val="00090D69"/>
    <w:rsid w:val="000A0BCE"/>
    <w:rsid w:val="000F625A"/>
    <w:rsid w:val="000F7F1A"/>
    <w:rsid w:val="0010074B"/>
    <w:rsid w:val="00107A9F"/>
    <w:rsid w:val="00111577"/>
    <w:rsid w:val="00115D91"/>
    <w:rsid w:val="00117486"/>
    <w:rsid w:val="00122265"/>
    <w:rsid w:val="00124F36"/>
    <w:rsid w:val="00126833"/>
    <w:rsid w:val="00155BF0"/>
    <w:rsid w:val="001624A2"/>
    <w:rsid w:val="00177514"/>
    <w:rsid w:val="00192D61"/>
    <w:rsid w:val="001A0C23"/>
    <w:rsid w:val="001A3698"/>
    <w:rsid w:val="001B40AD"/>
    <w:rsid w:val="001B61AA"/>
    <w:rsid w:val="001C1531"/>
    <w:rsid w:val="001C3908"/>
    <w:rsid w:val="001D36C2"/>
    <w:rsid w:val="001E5969"/>
    <w:rsid w:val="001F49B1"/>
    <w:rsid w:val="00201871"/>
    <w:rsid w:val="0020723B"/>
    <w:rsid w:val="00223125"/>
    <w:rsid w:val="00225F18"/>
    <w:rsid w:val="00236904"/>
    <w:rsid w:val="002427C5"/>
    <w:rsid w:val="00260707"/>
    <w:rsid w:val="00271DE6"/>
    <w:rsid w:val="00273374"/>
    <w:rsid w:val="002830C2"/>
    <w:rsid w:val="002A2ADD"/>
    <w:rsid w:val="002B662B"/>
    <w:rsid w:val="002B7641"/>
    <w:rsid w:val="002D753E"/>
    <w:rsid w:val="002F442F"/>
    <w:rsid w:val="002F7029"/>
    <w:rsid w:val="003342BA"/>
    <w:rsid w:val="00356C0A"/>
    <w:rsid w:val="00362D9A"/>
    <w:rsid w:val="003744B5"/>
    <w:rsid w:val="00375899"/>
    <w:rsid w:val="003800D5"/>
    <w:rsid w:val="003866ED"/>
    <w:rsid w:val="003A4D53"/>
    <w:rsid w:val="003B1CB6"/>
    <w:rsid w:val="003E66D1"/>
    <w:rsid w:val="003F342F"/>
    <w:rsid w:val="003F3F89"/>
    <w:rsid w:val="003F7551"/>
    <w:rsid w:val="004018D1"/>
    <w:rsid w:val="0040358C"/>
    <w:rsid w:val="00413BA0"/>
    <w:rsid w:val="00414CED"/>
    <w:rsid w:val="0041616A"/>
    <w:rsid w:val="004249F1"/>
    <w:rsid w:val="004336DD"/>
    <w:rsid w:val="00434DEB"/>
    <w:rsid w:val="00444654"/>
    <w:rsid w:val="00450A6A"/>
    <w:rsid w:val="00451BC8"/>
    <w:rsid w:val="00453AB7"/>
    <w:rsid w:val="00453E23"/>
    <w:rsid w:val="00463045"/>
    <w:rsid w:val="004D685D"/>
    <w:rsid w:val="004F407B"/>
    <w:rsid w:val="004F6249"/>
    <w:rsid w:val="00500728"/>
    <w:rsid w:val="00507C07"/>
    <w:rsid w:val="005163DE"/>
    <w:rsid w:val="005208D4"/>
    <w:rsid w:val="00532B18"/>
    <w:rsid w:val="00537CD6"/>
    <w:rsid w:val="0054024B"/>
    <w:rsid w:val="00553C64"/>
    <w:rsid w:val="0058619A"/>
    <w:rsid w:val="00593918"/>
    <w:rsid w:val="005A65AE"/>
    <w:rsid w:val="005E6775"/>
    <w:rsid w:val="00602332"/>
    <w:rsid w:val="0061283B"/>
    <w:rsid w:val="00623743"/>
    <w:rsid w:val="006254B6"/>
    <w:rsid w:val="006326B6"/>
    <w:rsid w:val="006678FC"/>
    <w:rsid w:val="00674314"/>
    <w:rsid w:val="00690CDE"/>
    <w:rsid w:val="006A538C"/>
    <w:rsid w:val="006B0BF8"/>
    <w:rsid w:val="006B12BB"/>
    <w:rsid w:val="006B62F9"/>
    <w:rsid w:val="006C56FD"/>
    <w:rsid w:val="006C6B57"/>
    <w:rsid w:val="006E1FAF"/>
    <w:rsid w:val="006F1B1A"/>
    <w:rsid w:val="007520E2"/>
    <w:rsid w:val="0075433D"/>
    <w:rsid w:val="00754B07"/>
    <w:rsid w:val="007601F8"/>
    <w:rsid w:val="00797AE4"/>
    <w:rsid w:val="007C3B75"/>
    <w:rsid w:val="007C58A3"/>
    <w:rsid w:val="007D3C1F"/>
    <w:rsid w:val="007E1ABC"/>
    <w:rsid w:val="007E2B87"/>
    <w:rsid w:val="007E6EC1"/>
    <w:rsid w:val="007F276B"/>
    <w:rsid w:val="008039C3"/>
    <w:rsid w:val="00817E1D"/>
    <w:rsid w:val="008319D1"/>
    <w:rsid w:val="00837566"/>
    <w:rsid w:val="0084412C"/>
    <w:rsid w:val="00850C44"/>
    <w:rsid w:val="0085334C"/>
    <w:rsid w:val="00861CCC"/>
    <w:rsid w:val="00866508"/>
    <w:rsid w:val="00872AB5"/>
    <w:rsid w:val="0089509E"/>
    <w:rsid w:val="008A4ACD"/>
    <w:rsid w:val="008A7D1B"/>
    <w:rsid w:val="008C1E01"/>
    <w:rsid w:val="008D01D7"/>
    <w:rsid w:val="008D44F6"/>
    <w:rsid w:val="008F0721"/>
    <w:rsid w:val="008F5D4B"/>
    <w:rsid w:val="00903213"/>
    <w:rsid w:val="009164FE"/>
    <w:rsid w:val="00934ADA"/>
    <w:rsid w:val="009368C5"/>
    <w:rsid w:val="009506F4"/>
    <w:rsid w:val="00963453"/>
    <w:rsid w:val="00977553"/>
    <w:rsid w:val="009869E6"/>
    <w:rsid w:val="00987EC7"/>
    <w:rsid w:val="009A4375"/>
    <w:rsid w:val="009B19D3"/>
    <w:rsid w:val="009B7324"/>
    <w:rsid w:val="009C2479"/>
    <w:rsid w:val="009C37F0"/>
    <w:rsid w:val="009D5533"/>
    <w:rsid w:val="009D6E5A"/>
    <w:rsid w:val="009E29E5"/>
    <w:rsid w:val="009F49F8"/>
    <w:rsid w:val="009F6E83"/>
    <w:rsid w:val="00A038B0"/>
    <w:rsid w:val="00A03927"/>
    <w:rsid w:val="00A0593C"/>
    <w:rsid w:val="00A1139E"/>
    <w:rsid w:val="00A26118"/>
    <w:rsid w:val="00A33CB2"/>
    <w:rsid w:val="00A40016"/>
    <w:rsid w:val="00A42C3D"/>
    <w:rsid w:val="00A60CB6"/>
    <w:rsid w:val="00A655CE"/>
    <w:rsid w:val="00A77444"/>
    <w:rsid w:val="00A90252"/>
    <w:rsid w:val="00AA0E35"/>
    <w:rsid w:val="00AA1227"/>
    <w:rsid w:val="00AA1E27"/>
    <w:rsid w:val="00AA4C26"/>
    <w:rsid w:val="00AB1302"/>
    <w:rsid w:val="00AB1CFB"/>
    <w:rsid w:val="00AB5348"/>
    <w:rsid w:val="00AD3978"/>
    <w:rsid w:val="00AE5821"/>
    <w:rsid w:val="00B03434"/>
    <w:rsid w:val="00B2206D"/>
    <w:rsid w:val="00B26A6D"/>
    <w:rsid w:val="00B45A50"/>
    <w:rsid w:val="00B552F7"/>
    <w:rsid w:val="00B6037E"/>
    <w:rsid w:val="00B66F30"/>
    <w:rsid w:val="00B77818"/>
    <w:rsid w:val="00B821B1"/>
    <w:rsid w:val="00B86BB6"/>
    <w:rsid w:val="00B97566"/>
    <w:rsid w:val="00B978CC"/>
    <w:rsid w:val="00B97CB8"/>
    <w:rsid w:val="00BB32F0"/>
    <w:rsid w:val="00BB4D25"/>
    <w:rsid w:val="00BC2C89"/>
    <w:rsid w:val="00BC3588"/>
    <w:rsid w:val="00BE129D"/>
    <w:rsid w:val="00C07B24"/>
    <w:rsid w:val="00C114B2"/>
    <w:rsid w:val="00C401C7"/>
    <w:rsid w:val="00C41A29"/>
    <w:rsid w:val="00C61492"/>
    <w:rsid w:val="00C649CE"/>
    <w:rsid w:val="00C77058"/>
    <w:rsid w:val="00C91091"/>
    <w:rsid w:val="00C9653A"/>
    <w:rsid w:val="00C96981"/>
    <w:rsid w:val="00CB72BB"/>
    <w:rsid w:val="00CB74C9"/>
    <w:rsid w:val="00CD7502"/>
    <w:rsid w:val="00D27D59"/>
    <w:rsid w:val="00D3294C"/>
    <w:rsid w:val="00D35979"/>
    <w:rsid w:val="00D50BDE"/>
    <w:rsid w:val="00D610E0"/>
    <w:rsid w:val="00D63145"/>
    <w:rsid w:val="00D7379A"/>
    <w:rsid w:val="00D84061"/>
    <w:rsid w:val="00D85F1C"/>
    <w:rsid w:val="00D86E65"/>
    <w:rsid w:val="00D953A9"/>
    <w:rsid w:val="00DA08E4"/>
    <w:rsid w:val="00DA0CC2"/>
    <w:rsid w:val="00DA6585"/>
    <w:rsid w:val="00DB7307"/>
    <w:rsid w:val="00DD1A54"/>
    <w:rsid w:val="00DD3B68"/>
    <w:rsid w:val="00DF5805"/>
    <w:rsid w:val="00E027FE"/>
    <w:rsid w:val="00E154C1"/>
    <w:rsid w:val="00E24F6C"/>
    <w:rsid w:val="00E25731"/>
    <w:rsid w:val="00E41573"/>
    <w:rsid w:val="00E4182B"/>
    <w:rsid w:val="00E53811"/>
    <w:rsid w:val="00E61228"/>
    <w:rsid w:val="00E70AA0"/>
    <w:rsid w:val="00E81BEA"/>
    <w:rsid w:val="00E83559"/>
    <w:rsid w:val="00EA2261"/>
    <w:rsid w:val="00EB37B3"/>
    <w:rsid w:val="00EC686F"/>
    <w:rsid w:val="00EE12F0"/>
    <w:rsid w:val="00EE63A1"/>
    <w:rsid w:val="00EF02E7"/>
    <w:rsid w:val="00EF678A"/>
    <w:rsid w:val="00F04A07"/>
    <w:rsid w:val="00F05485"/>
    <w:rsid w:val="00F07537"/>
    <w:rsid w:val="00F14D3D"/>
    <w:rsid w:val="00F36782"/>
    <w:rsid w:val="00F6690C"/>
    <w:rsid w:val="00F730F3"/>
    <w:rsid w:val="00F878C6"/>
    <w:rsid w:val="00F933A0"/>
    <w:rsid w:val="00FA1612"/>
    <w:rsid w:val="00FB09DC"/>
    <w:rsid w:val="00FF0385"/>
    <w:rsid w:val="00FF33BE"/>
    <w:rsid w:val="00FF34EB"/>
    <w:rsid w:val="00FF5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2"/>
      <o:rules v:ext="edit">
        <o:r id="V:Rule1" type="connector" idref="#AutoShape 16"/>
        <o:r id="V:Rule2" type="connector" idref="#AutoShape 54"/>
      </o:rules>
    </o:shapelayout>
  </w:shapeDefaults>
  <w:decimalSymbol w:val="."/>
  <w:listSeparator w:val=","/>
  <w14:docId w14:val="32ADEE00"/>
  <w15:docId w15:val="{28524857-0F0A-4D49-9A6E-9AF978E22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016"/>
  </w:style>
  <w:style w:type="paragraph" w:styleId="Heading1">
    <w:name w:val="heading 1"/>
    <w:basedOn w:val="Normal"/>
    <w:next w:val="Normal"/>
    <w:link w:val="Heading1Char"/>
    <w:uiPriority w:val="9"/>
    <w:qFormat/>
    <w:rsid w:val="0075433D"/>
    <w:pPr>
      <w:keepNext/>
      <w:keepLines/>
      <w:spacing w:after="0" w:line="240" w:lineRule="auto"/>
      <w:jc w:val="right"/>
      <w:outlineLvl w:val="0"/>
    </w:pPr>
    <w:rPr>
      <w:rFonts w:ascii="Times New Roman" w:eastAsiaTheme="majorEastAsia" w:hAnsi="Times New Roman" w:cstheme="majorBidi"/>
      <w:b/>
      <w:bCs/>
      <w:sz w:val="48"/>
      <w:szCs w:val="28"/>
    </w:rPr>
  </w:style>
  <w:style w:type="paragraph" w:styleId="Heading2">
    <w:name w:val="heading 2"/>
    <w:basedOn w:val="Normal"/>
    <w:next w:val="Normal"/>
    <w:link w:val="Heading2Char"/>
    <w:uiPriority w:val="9"/>
    <w:unhideWhenUsed/>
    <w:qFormat/>
    <w:rsid w:val="0075433D"/>
    <w:pPr>
      <w:keepNext/>
      <w:keepLines/>
      <w:spacing w:before="10" w:after="0" w:line="240" w:lineRule="auto"/>
      <w:jc w:val="right"/>
      <w:outlineLvl w:val="1"/>
    </w:pPr>
    <w:rPr>
      <w:rFonts w:ascii="Times New Roman" w:eastAsiaTheme="majorEastAsia" w:hAnsi="Times New Roman" w:cstheme="majorBidi"/>
      <w:b/>
      <w:bCs/>
      <w:sz w:val="32"/>
      <w:szCs w:val="26"/>
    </w:rPr>
  </w:style>
  <w:style w:type="paragraph" w:styleId="Heading3">
    <w:name w:val="heading 3"/>
    <w:basedOn w:val="Normal"/>
    <w:next w:val="Normal"/>
    <w:link w:val="Heading3Char"/>
    <w:uiPriority w:val="9"/>
    <w:unhideWhenUsed/>
    <w:qFormat/>
    <w:rsid w:val="0075433D"/>
    <w:pPr>
      <w:keepNext/>
      <w:keepLines/>
      <w:spacing w:after="0" w:line="240" w:lineRule="auto"/>
      <w:jc w:val="both"/>
      <w:outlineLvl w:val="2"/>
    </w:pPr>
    <w:rPr>
      <w:rFonts w:ascii="Times New Roman" w:eastAsiaTheme="majorEastAsia" w:hAnsi="Times New Roman" w:cstheme="majorBidi"/>
      <w:b/>
      <w:bCs/>
      <w:sz w:val="19"/>
    </w:rPr>
  </w:style>
  <w:style w:type="paragraph" w:styleId="Heading4">
    <w:name w:val="heading 4"/>
    <w:basedOn w:val="Normal"/>
    <w:next w:val="Normal"/>
    <w:link w:val="Heading4Char"/>
    <w:uiPriority w:val="9"/>
    <w:unhideWhenUsed/>
    <w:qFormat/>
    <w:rsid w:val="0075433D"/>
    <w:pPr>
      <w:keepNext/>
      <w:keepLines/>
      <w:spacing w:after="0" w:line="240" w:lineRule="auto"/>
      <w:jc w:val="both"/>
      <w:outlineLvl w:val="3"/>
    </w:pPr>
    <w:rPr>
      <w:rFonts w:ascii="Times New Roman" w:eastAsiaTheme="majorEastAsia" w:hAnsi="Times New Roman" w:cstheme="majorBidi"/>
      <w:b/>
      <w:bCs/>
      <w:iCs/>
      <w:sz w:val="19"/>
    </w:rPr>
  </w:style>
  <w:style w:type="paragraph" w:styleId="Heading5">
    <w:name w:val="heading 5"/>
    <w:basedOn w:val="Normal"/>
    <w:next w:val="Normal"/>
    <w:link w:val="Heading5Char"/>
    <w:uiPriority w:val="9"/>
    <w:unhideWhenUsed/>
    <w:qFormat/>
    <w:rsid w:val="0075433D"/>
    <w:pPr>
      <w:keepNext/>
      <w:keepLines/>
      <w:spacing w:after="0" w:line="240" w:lineRule="auto"/>
      <w:jc w:val="both"/>
      <w:outlineLvl w:val="4"/>
    </w:pPr>
    <w:rPr>
      <w:rFonts w:ascii="Times New Roman" w:eastAsiaTheme="majorEastAsia" w:hAnsi="Times New Roman" w:cstheme="majorBidi"/>
      <w:b/>
      <w:sz w:val="19"/>
    </w:rPr>
  </w:style>
  <w:style w:type="paragraph" w:styleId="Heading6">
    <w:name w:val="heading 6"/>
    <w:basedOn w:val="Normal"/>
    <w:next w:val="Normal"/>
    <w:link w:val="Heading6Char"/>
    <w:uiPriority w:val="9"/>
    <w:unhideWhenUsed/>
    <w:qFormat/>
    <w:rsid w:val="0075433D"/>
    <w:pPr>
      <w:keepNext/>
      <w:keepLines/>
      <w:spacing w:after="0" w:line="240" w:lineRule="auto"/>
      <w:jc w:val="both"/>
      <w:outlineLvl w:val="5"/>
    </w:pPr>
    <w:rPr>
      <w:rFonts w:ascii="Times New Roman" w:eastAsiaTheme="majorEastAsia" w:hAnsi="Times New Roman" w:cstheme="majorBidi"/>
      <w:b/>
      <w:sz w:val="19"/>
    </w:rPr>
  </w:style>
  <w:style w:type="paragraph" w:styleId="Heading7">
    <w:name w:val="heading 7"/>
    <w:basedOn w:val="Normal"/>
    <w:next w:val="Normal"/>
    <w:link w:val="Heading7Char"/>
    <w:uiPriority w:val="9"/>
    <w:unhideWhenUsed/>
    <w:qFormat/>
    <w:rsid w:val="0075433D"/>
    <w:pPr>
      <w:keepNext/>
      <w:keepLines/>
      <w:spacing w:after="0" w:line="240" w:lineRule="auto"/>
      <w:ind w:left="2160"/>
      <w:jc w:val="both"/>
      <w:outlineLvl w:val="6"/>
    </w:pPr>
    <w:rPr>
      <w:rFonts w:ascii="Times New Roman" w:eastAsiaTheme="majorEastAsia" w:hAnsi="Times New Roman" w:cstheme="majorBidi"/>
      <w:b/>
      <w:i/>
      <w:iCs/>
      <w:sz w:val="24"/>
    </w:rPr>
  </w:style>
  <w:style w:type="paragraph" w:styleId="Heading8">
    <w:name w:val="heading 8"/>
    <w:basedOn w:val="Normal"/>
    <w:next w:val="Normal"/>
    <w:link w:val="Heading8Char"/>
    <w:uiPriority w:val="9"/>
    <w:unhideWhenUsed/>
    <w:qFormat/>
    <w:rsid w:val="0075433D"/>
    <w:pPr>
      <w:keepNext/>
      <w:keepLines/>
      <w:spacing w:after="0" w:line="240" w:lineRule="auto"/>
      <w:ind w:left="2160"/>
      <w:jc w:val="both"/>
      <w:outlineLvl w:val="7"/>
    </w:pPr>
    <w:rPr>
      <w:rFonts w:ascii="Times New Roman" w:eastAsiaTheme="majorEastAsia" w:hAnsi="Times New Roman" w:cstheme="majorBidi"/>
      <w:b/>
      <w:i/>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36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6DD"/>
  </w:style>
  <w:style w:type="paragraph" w:styleId="Footer">
    <w:name w:val="footer"/>
    <w:basedOn w:val="Normal"/>
    <w:link w:val="FooterChar"/>
    <w:uiPriority w:val="99"/>
    <w:unhideWhenUsed/>
    <w:rsid w:val="004336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6DD"/>
  </w:style>
  <w:style w:type="table" w:styleId="TableGrid">
    <w:name w:val="Table Grid"/>
    <w:basedOn w:val="TableNormal"/>
    <w:uiPriority w:val="59"/>
    <w:rsid w:val="00444654"/>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021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DF1"/>
    <w:rPr>
      <w:rFonts w:ascii="Tahoma" w:hAnsi="Tahoma" w:cs="Tahoma"/>
      <w:sz w:val="16"/>
      <w:szCs w:val="16"/>
    </w:rPr>
  </w:style>
  <w:style w:type="paragraph" w:styleId="ListParagraph">
    <w:name w:val="List Paragraph"/>
    <w:basedOn w:val="Normal"/>
    <w:qFormat/>
    <w:rsid w:val="00021DF1"/>
    <w:pPr>
      <w:ind w:left="720"/>
      <w:contextualSpacing/>
    </w:pPr>
  </w:style>
  <w:style w:type="character" w:styleId="Hyperlink">
    <w:name w:val="Hyperlink"/>
    <w:basedOn w:val="DefaultParagraphFont"/>
    <w:uiPriority w:val="99"/>
    <w:unhideWhenUsed/>
    <w:rsid w:val="004F407B"/>
    <w:rPr>
      <w:color w:val="0000FF" w:themeColor="hyperlink"/>
      <w:u w:val="single"/>
    </w:rPr>
  </w:style>
  <w:style w:type="paragraph" w:customStyle="1" w:styleId="ReferHead">
    <w:name w:val="Refer Head"/>
    <w:basedOn w:val="Normal"/>
    <w:rsid w:val="00271DE6"/>
    <w:pPr>
      <w:keepNext/>
      <w:spacing w:after="240" w:line="240" w:lineRule="auto"/>
    </w:pPr>
    <w:rPr>
      <w:rFonts w:ascii="Helvetica" w:eastAsia="Times New Roman" w:hAnsi="Helvetica" w:cs="Times New Roman"/>
      <w:b/>
      <w:caps/>
      <w:szCs w:val="20"/>
    </w:rPr>
  </w:style>
  <w:style w:type="character" w:customStyle="1" w:styleId="Heading1Char">
    <w:name w:val="Heading 1 Char"/>
    <w:basedOn w:val="DefaultParagraphFont"/>
    <w:link w:val="Heading1"/>
    <w:uiPriority w:val="9"/>
    <w:rsid w:val="0075433D"/>
    <w:rPr>
      <w:rFonts w:ascii="Times New Roman" w:eastAsiaTheme="majorEastAsia" w:hAnsi="Times New Roman" w:cstheme="majorBidi"/>
      <w:b/>
      <w:bCs/>
      <w:sz w:val="48"/>
      <w:szCs w:val="28"/>
    </w:rPr>
  </w:style>
  <w:style w:type="character" w:customStyle="1" w:styleId="Heading2Char">
    <w:name w:val="Heading 2 Char"/>
    <w:basedOn w:val="DefaultParagraphFont"/>
    <w:link w:val="Heading2"/>
    <w:uiPriority w:val="9"/>
    <w:rsid w:val="0075433D"/>
    <w:rPr>
      <w:rFonts w:ascii="Times New Roman" w:eastAsiaTheme="majorEastAsia" w:hAnsi="Times New Roman" w:cstheme="majorBidi"/>
      <w:b/>
      <w:bCs/>
      <w:sz w:val="32"/>
      <w:szCs w:val="26"/>
    </w:rPr>
  </w:style>
  <w:style w:type="character" w:customStyle="1" w:styleId="Heading3Char">
    <w:name w:val="Heading 3 Char"/>
    <w:basedOn w:val="DefaultParagraphFont"/>
    <w:link w:val="Heading3"/>
    <w:uiPriority w:val="9"/>
    <w:rsid w:val="0075433D"/>
    <w:rPr>
      <w:rFonts w:ascii="Times New Roman" w:eastAsiaTheme="majorEastAsia" w:hAnsi="Times New Roman" w:cstheme="majorBidi"/>
      <w:b/>
      <w:bCs/>
      <w:sz w:val="19"/>
    </w:rPr>
  </w:style>
  <w:style w:type="character" w:customStyle="1" w:styleId="Heading4Char">
    <w:name w:val="Heading 4 Char"/>
    <w:basedOn w:val="DefaultParagraphFont"/>
    <w:link w:val="Heading4"/>
    <w:uiPriority w:val="9"/>
    <w:rsid w:val="0075433D"/>
    <w:rPr>
      <w:rFonts w:ascii="Times New Roman" w:eastAsiaTheme="majorEastAsia" w:hAnsi="Times New Roman" w:cstheme="majorBidi"/>
      <w:b/>
      <w:bCs/>
      <w:iCs/>
      <w:sz w:val="19"/>
    </w:rPr>
  </w:style>
  <w:style w:type="character" w:customStyle="1" w:styleId="Heading5Char">
    <w:name w:val="Heading 5 Char"/>
    <w:basedOn w:val="DefaultParagraphFont"/>
    <w:link w:val="Heading5"/>
    <w:uiPriority w:val="9"/>
    <w:rsid w:val="0075433D"/>
    <w:rPr>
      <w:rFonts w:ascii="Times New Roman" w:eastAsiaTheme="majorEastAsia" w:hAnsi="Times New Roman" w:cstheme="majorBidi"/>
      <w:b/>
      <w:sz w:val="19"/>
    </w:rPr>
  </w:style>
  <w:style w:type="character" w:customStyle="1" w:styleId="Heading6Char">
    <w:name w:val="Heading 6 Char"/>
    <w:basedOn w:val="DefaultParagraphFont"/>
    <w:link w:val="Heading6"/>
    <w:uiPriority w:val="9"/>
    <w:rsid w:val="0075433D"/>
    <w:rPr>
      <w:rFonts w:ascii="Times New Roman" w:eastAsiaTheme="majorEastAsia" w:hAnsi="Times New Roman" w:cstheme="majorBidi"/>
      <w:b/>
      <w:sz w:val="19"/>
    </w:rPr>
  </w:style>
  <w:style w:type="character" w:customStyle="1" w:styleId="Heading7Char">
    <w:name w:val="Heading 7 Char"/>
    <w:basedOn w:val="DefaultParagraphFont"/>
    <w:link w:val="Heading7"/>
    <w:uiPriority w:val="9"/>
    <w:rsid w:val="0075433D"/>
    <w:rPr>
      <w:rFonts w:ascii="Times New Roman" w:eastAsiaTheme="majorEastAsia" w:hAnsi="Times New Roman" w:cstheme="majorBidi"/>
      <w:b/>
      <w:i/>
      <w:iCs/>
      <w:sz w:val="24"/>
    </w:rPr>
  </w:style>
  <w:style w:type="character" w:customStyle="1" w:styleId="Heading8Char">
    <w:name w:val="Heading 8 Char"/>
    <w:basedOn w:val="DefaultParagraphFont"/>
    <w:link w:val="Heading8"/>
    <w:uiPriority w:val="9"/>
    <w:rsid w:val="0075433D"/>
    <w:rPr>
      <w:rFonts w:ascii="Times New Roman" w:eastAsiaTheme="majorEastAsia" w:hAnsi="Times New Roman" w:cstheme="majorBidi"/>
      <w:b/>
      <w:i/>
      <w:sz w:val="20"/>
      <w:szCs w:val="21"/>
    </w:rPr>
  </w:style>
  <w:style w:type="paragraph" w:customStyle="1" w:styleId="FrameContents">
    <w:name w:val="Frame Contents"/>
    <w:basedOn w:val="Normal"/>
    <w:qFormat/>
    <w:rsid w:val="00934ADA"/>
  </w:style>
  <w:style w:type="character" w:styleId="UnresolvedMention">
    <w:name w:val="Unresolved Mention"/>
    <w:basedOn w:val="DefaultParagraphFont"/>
    <w:uiPriority w:val="99"/>
    <w:semiHidden/>
    <w:unhideWhenUsed/>
    <w:rsid w:val="006F1B1A"/>
    <w:rPr>
      <w:color w:val="605E5C"/>
      <w:shd w:val="clear" w:color="auto" w:fill="E1DFDD"/>
    </w:rPr>
  </w:style>
  <w:style w:type="paragraph" w:styleId="Title">
    <w:name w:val="Title"/>
    <w:link w:val="TitleChar"/>
    <w:uiPriority w:val="10"/>
    <w:qFormat/>
    <w:rsid w:val="001C1531"/>
    <w:pPr>
      <w:spacing w:after="0" w:line="240" w:lineRule="auto"/>
    </w:pPr>
    <w:rPr>
      <w:rFonts w:ascii="Times New Roman" w:eastAsia="Times New Roman" w:hAnsi="Times New Roman" w:cs="Times New Roman"/>
      <w:sz w:val="56"/>
      <w:szCs w:val="56"/>
      <w:lang w:val="en-IN" w:eastAsia="en-IN"/>
    </w:rPr>
  </w:style>
  <w:style w:type="character" w:customStyle="1" w:styleId="TitleChar">
    <w:name w:val="Title Char"/>
    <w:basedOn w:val="DefaultParagraphFont"/>
    <w:link w:val="Title"/>
    <w:uiPriority w:val="10"/>
    <w:rsid w:val="001C1531"/>
    <w:rPr>
      <w:rFonts w:ascii="Times New Roman" w:eastAsia="Times New Roman" w:hAnsi="Times New Roman" w:cs="Times New Roman"/>
      <w:sz w:val="56"/>
      <w:szCs w:val="56"/>
      <w:lang w:val="en-IN" w:eastAsia="en-IN"/>
    </w:rPr>
  </w:style>
  <w:style w:type="paragraph" w:customStyle="1" w:styleId="Strong1">
    <w:name w:val="Strong1"/>
    <w:qFormat/>
    <w:rsid w:val="001C1531"/>
    <w:pPr>
      <w:spacing w:after="0" w:line="240" w:lineRule="auto"/>
    </w:pPr>
    <w:rPr>
      <w:rFonts w:ascii="Times New Roman" w:eastAsia="Times New Roman" w:hAnsi="Times New Roman" w:cs="Times New Roman"/>
      <w:b/>
      <w:bCs/>
      <w:sz w:val="24"/>
      <w:szCs w:val="24"/>
      <w:lang w:val="en-IN" w:eastAsia="en-IN"/>
    </w:rPr>
  </w:style>
  <w:style w:type="character" w:styleId="FootnoteReference">
    <w:name w:val="footnote reference"/>
    <w:uiPriority w:val="99"/>
    <w:semiHidden/>
    <w:unhideWhenUsed/>
    <w:rsid w:val="001C1531"/>
    <w:rPr>
      <w:vertAlign w:val="superscript"/>
    </w:rPr>
  </w:style>
  <w:style w:type="paragraph" w:styleId="FootnoteText">
    <w:name w:val="footnote text"/>
    <w:link w:val="FootnoteTextChar"/>
    <w:uiPriority w:val="99"/>
    <w:semiHidden/>
    <w:unhideWhenUsed/>
    <w:rsid w:val="001C1531"/>
    <w:pPr>
      <w:spacing w:after="0" w:line="240" w:lineRule="auto"/>
    </w:pPr>
    <w:rPr>
      <w:rFonts w:ascii="Times New Roman" w:eastAsia="Times New Roman" w:hAnsi="Times New Roman" w:cs="Times New Roman"/>
      <w:sz w:val="20"/>
      <w:szCs w:val="20"/>
      <w:lang w:val="en-IN" w:eastAsia="en-IN"/>
    </w:rPr>
  </w:style>
  <w:style w:type="character" w:customStyle="1" w:styleId="FootnoteTextChar">
    <w:name w:val="Footnote Text Char"/>
    <w:basedOn w:val="DefaultParagraphFont"/>
    <w:link w:val="FootnoteText"/>
    <w:uiPriority w:val="99"/>
    <w:semiHidden/>
    <w:rsid w:val="001C1531"/>
    <w:rPr>
      <w:rFonts w:ascii="Times New Roman" w:eastAsia="Times New Roman" w:hAnsi="Times New Roman" w:cs="Times New Roman"/>
      <w:sz w:val="20"/>
      <w:szCs w:val="20"/>
      <w:lang w:val="en-IN" w:eastAsia="en-IN"/>
    </w:rPr>
  </w:style>
  <w:style w:type="character" w:styleId="EndnoteReference">
    <w:name w:val="endnote reference"/>
    <w:uiPriority w:val="99"/>
    <w:semiHidden/>
    <w:unhideWhenUsed/>
    <w:rsid w:val="001C1531"/>
    <w:rPr>
      <w:vertAlign w:val="superscript"/>
    </w:rPr>
  </w:style>
  <w:style w:type="paragraph" w:styleId="EndnoteText">
    <w:name w:val="endnote text"/>
    <w:link w:val="EndnoteTextChar"/>
    <w:uiPriority w:val="99"/>
    <w:semiHidden/>
    <w:unhideWhenUsed/>
    <w:rsid w:val="001C1531"/>
    <w:pPr>
      <w:spacing w:after="0" w:line="240" w:lineRule="auto"/>
    </w:pPr>
    <w:rPr>
      <w:rFonts w:ascii="Times New Roman" w:eastAsia="Times New Roman" w:hAnsi="Times New Roman" w:cs="Times New Roman"/>
      <w:sz w:val="20"/>
      <w:szCs w:val="20"/>
      <w:lang w:val="en-IN" w:eastAsia="en-IN"/>
    </w:rPr>
  </w:style>
  <w:style w:type="character" w:customStyle="1" w:styleId="EndnoteTextChar">
    <w:name w:val="Endnote Text Char"/>
    <w:basedOn w:val="DefaultParagraphFont"/>
    <w:link w:val="EndnoteText"/>
    <w:uiPriority w:val="99"/>
    <w:semiHidden/>
    <w:rsid w:val="001C1531"/>
    <w:rPr>
      <w:rFonts w:ascii="Times New Roman" w:eastAsia="Times New Roman" w:hAnsi="Times New Roman" w:cs="Times New Roman"/>
      <w:sz w:val="20"/>
      <w:szCs w:val="20"/>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933777">
      <w:bodyDiv w:val="1"/>
      <w:marLeft w:val="0"/>
      <w:marRight w:val="0"/>
      <w:marTop w:val="0"/>
      <w:marBottom w:val="0"/>
      <w:divBdr>
        <w:top w:val="none" w:sz="0" w:space="0" w:color="auto"/>
        <w:left w:val="none" w:sz="0" w:space="0" w:color="auto"/>
        <w:bottom w:val="none" w:sz="0" w:space="0" w:color="auto"/>
        <w:right w:val="none" w:sz="0" w:space="0" w:color="auto"/>
      </w:divBdr>
    </w:div>
    <w:div w:id="688871328">
      <w:bodyDiv w:val="1"/>
      <w:marLeft w:val="0"/>
      <w:marRight w:val="0"/>
      <w:marTop w:val="0"/>
      <w:marBottom w:val="0"/>
      <w:divBdr>
        <w:top w:val="none" w:sz="0" w:space="0" w:color="auto"/>
        <w:left w:val="none" w:sz="0" w:space="0" w:color="auto"/>
        <w:bottom w:val="none" w:sz="0" w:space="0" w:color="auto"/>
        <w:right w:val="none" w:sz="0" w:space="0" w:color="auto"/>
      </w:divBdr>
    </w:div>
    <w:div w:id="741104770">
      <w:bodyDiv w:val="1"/>
      <w:marLeft w:val="0"/>
      <w:marRight w:val="0"/>
      <w:marTop w:val="0"/>
      <w:marBottom w:val="0"/>
      <w:divBdr>
        <w:top w:val="none" w:sz="0" w:space="0" w:color="auto"/>
        <w:left w:val="none" w:sz="0" w:space="0" w:color="auto"/>
        <w:bottom w:val="none" w:sz="0" w:space="0" w:color="auto"/>
        <w:right w:val="none" w:sz="0" w:space="0" w:color="auto"/>
      </w:divBdr>
    </w:div>
    <w:div w:id="1386754543">
      <w:bodyDiv w:val="1"/>
      <w:marLeft w:val="0"/>
      <w:marRight w:val="0"/>
      <w:marTop w:val="0"/>
      <w:marBottom w:val="0"/>
      <w:divBdr>
        <w:top w:val="none" w:sz="0" w:space="0" w:color="auto"/>
        <w:left w:val="none" w:sz="0" w:space="0" w:color="auto"/>
        <w:bottom w:val="none" w:sz="0" w:space="0" w:color="auto"/>
        <w:right w:val="none" w:sz="0" w:space="0" w:color="auto"/>
      </w:divBdr>
    </w:div>
    <w:div w:id="1494250625">
      <w:bodyDiv w:val="1"/>
      <w:marLeft w:val="0"/>
      <w:marRight w:val="0"/>
      <w:marTop w:val="0"/>
      <w:marBottom w:val="0"/>
      <w:divBdr>
        <w:top w:val="none" w:sz="0" w:space="0" w:color="auto"/>
        <w:left w:val="none" w:sz="0" w:space="0" w:color="auto"/>
        <w:bottom w:val="none" w:sz="0" w:space="0" w:color="auto"/>
        <w:right w:val="none" w:sz="0" w:space="0" w:color="auto"/>
      </w:divBdr>
    </w:div>
    <w:div w:id="1947732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111/j.1469-8137.2012.04059.x" TargetMode="External"/><Relationship Id="rId21" Type="http://schemas.openxmlformats.org/officeDocument/2006/relationships/hyperlink" Target="https://doi.org/10.1016/j.envexpbot.2013.02.004" TargetMode="External"/><Relationship Id="rId42" Type="http://schemas.openxmlformats.org/officeDocument/2006/relationships/hyperlink" Target="https://doi.org/10.1111/j.1744-7348.2006.00123.x" TargetMode="External"/><Relationship Id="rId63" Type="http://schemas.openxmlformats.org/officeDocument/2006/relationships/hyperlink" Target="https://doi.org/10.1007/s10113-022-02006-x" TargetMode="External"/><Relationship Id="rId84" Type="http://schemas.openxmlformats.org/officeDocument/2006/relationships/hyperlink" Target="https://doi.org/10.1073/pnas.1210127110" TargetMode="External"/><Relationship Id="rId138" Type="http://schemas.openxmlformats.org/officeDocument/2006/relationships/hyperlink" Target="https://doi.org/10.1080/07352689.2012.696453" TargetMode="External"/><Relationship Id="rId159" Type="http://schemas.openxmlformats.org/officeDocument/2006/relationships/hyperlink" Target="https://doi.org/10.1038/srep02418" TargetMode="External"/><Relationship Id="rId170" Type="http://schemas.openxmlformats.org/officeDocument/2006/relationships/hyperlink" Target="https://doi.org/10.3389/fpls.2017.01923" TargetMode="External"/><Relationship Id="rId191" Type="http://schemas.openxmlformats.org/officeDocument/2006/relationships/hyperlink" Target="https://doi.org/10.1073/pnas.1920816117" TargetMode="External"/><Relationship Id="rId107" Type="http://schemas.openxmlformats.org/officeDocument/2006/relationships/hyperlink" Target="https://doi.org/10.1016/j.agrformet.2006.10.006" TargetMode="External"/><Relationship Id="rId11" Type="http://schemas.openxmlformats.org/officeDocument/2006/relationships/footer" Target="footer1.xml"/><Relationship Id="rId32" Type="http://schemas.openxmlformats.org/officeDocument/2006/relationships/hyperlink" Target="https://doi.org/10.1093/treephys/tpv138" TargetMode="External"/><Relationship Id="rId53" Type="http://schemas.openxmlformats.org/officeDocument/2006/relationships/hyperlink" Target="https://doi.org/10.1038/s41598-023-27475-w" TargetMode="External"/><Relationship Id="rId74" Type="http://schemas.openxmlformats.org/officeDocument/2006/relationships/hyperlink" Target="https://doi.org/10.1016/j.agwat.2017.08.015" TargetMode="External"/><Relationship Id="rId128" Type="http://schemas.openxmlformats.org/officeDocument/2006/relationships/hyperlink" Target="https://doi.org/10.1038/hortres.2015.60" TargetMode="External"/><Relationship Id="rId149" Type="http://schemas.openxmlformats.org/officeDocument/2006/relationships/hyperlink" Target="https://doi.org/10.3390/horticulturae7040086" TargetMode="External"/><Relationship Id="rId5" Type="http://schemas.openxmlformats.org/officeDocument/2006/relationships/footnotes" Target="footnotes.xml"/><Relationship Id="rId95" Type="http://schemas.openxmlformats.org/officeDocument/2006/relationships/hyperlink" Target="https://doi.org/10.1093/jxb/erh249" TargetMode="External"/><Relationship Id="rId160" Type="http://schemas.openxmlformats.org/officeDocument/2006/relationships/hyperlink" Target="https://doi.org/10.2480/agrmet.d-18-00032" TargetMode="External"/><Relationship Id="rId181" Type="http://schemas.openxmlformats.org/officeDocument/2006/relationships/hyperlink" Target="https://doi.org/10.1016/j.tplants.2015.11.008" TargetMode="External"/><Relationship Id="rId22" Type="http://schemas.openxmlformats.org/officeDocument/2006/relationships/hyperlink" Target="https://doi.org/10.1186/s41073-019-0064-8" TargetMode="External"/><Relationship Id="rId43" Type="http://schemas.openxmlformats.org/officeDocument/2006/relationships/hyperlink" Target="https://doi.org/10.1093/aob/mcq030" TargetMode="External"/><Relationship Id="rId64" Type="http://schemas.openxmlformats.org/officeDocument/2006/relationships/hyperlink" Target="https://doi.org/10.1007/s10584-019-02608-1" TargetMode="External"/><Relationship Id="rId118" Type="http://schemas.openxmlformats.org/officeDocument/2006/relationships/hyperlink" Target="https://doi.org/10.3389/fagro.2022.898870" TargetMode="External"/><Relationship Id="rId139" Type="http://schemas.openxmlformats.org/officeDocument/2006/relationships/hyperlink" Target="https://doi.org/10.3389/fpls.2020.590847" TargetMode="External"/><Relationship Id="rId85" Type="http://schemas.openxmlformats.org/officeDocument/2006/relationships/hyperlink" Target="https://doi.org/10.1186/s12870-023-04223-w" TargetMode="External"/><Relationship Id="rId150" Type="http://schemas.openxmlformats.org/officeDocument/2006/relationships/hyperlink" Target="https://doi.org/10.1038/srep38775" TargetMode="External"/><Relationship Id="rId171" Type="http://schemas.openxmlformats.org/officeDocument/2006/relationships/hyperlink" Target="https://doi.org/10.1073/pnas.1307927110" TargetMode="External"/><Relationship Id="rId192" Type="http://schemas.openxmlformats.org/officeDocument/2006/relationships/hyperlink" Target="https://pr.sdiarticle5.com/review-history/168781" TargetMode="External"/><Relationship Id="rId12" Type="http://schemas.openxmlformats.org/officeDocument/2006/relationships/footer" Target="footer2.xml"/><Relationship Id="rId33" Type="http://schemas.openxmlformats.org/officeDocument/2006/relationships/hyperlink" Target="https://doi.org/10.3389/fpls.2020.01052" TargetMode="External"/><Relationship Id="rId108" Type="http://schemas.openxmlformats.org/officeDocument/2006/relationships/hyperlink" Target="https://doi.org/10.1007/s00271-018-0568-x" TargetMode="External"/><Relationship Id="rId129" Type="http://schemas.openxmlformats.org/officeDocument/2006/relationships/hyperlink" Target="https://doi.org/10.3389/fpls.2022.909083" TargetMode="External"/><Relationship Id="rId54" Type="http://schemas.openxmlformats.org/officeDocument/2006/relationships/hyperlink" Target="https://doi.org/10.1071/fp02180" TargetMode="External"/><Relationship Id="rId75" Type="http://schemas.openxmlformats.org/officeDocument/2006/relationships/hyperlink" Target="https://doi.org/10.1093/jxb/eraa245" TargetMode="External"/><Relationship Id="rId96" Type="http://schemas.openxmlformats.org/officeDocument/2006/relationships/hyperlink" Target="https://doi.org/10.2480/agrmet.d-23-00029" TargetMode="External"/><Relationship Id="rId140" Type="http://schemas.openxmlformats.org/officeDocument/2006/relationships/hyperlink" Target="https://doi.org/10.1016/j.agsy.2020.102961" TargetMode="External"/><Relationship Id="rId161" Type="http://schemas.openxmlformats.org/officeDocument/2006/relationships/hyperlink" Target="https://doi.org/10.6090/jarq.46.7" TargetMode="External"/><Relationship Id="rId182" Type="http://schemas.openxmlformats.org/officeDocument/2006/relationships/hyperlink" Target="https://doi.org/10.3390/horticulturae9040492" TargetMode="External"/><Relationship Id="rId6" Type="http://schemas.openxmlformats.org/officeDocument/2006/relationships/endnotes" Target="endnotes.xml"/><Relationship Id="rId23" Type="http://schemas.openxmlformats.org/officeDocument/2006/relationships/hyperlink" Target="https://doi.org/10.1007/s00299-021-02744-y" TargetMode="External"/><Relationship Id="rId119" Type="http://schemas.openxmlformats.org/officeDocument/2006/relationships/hyperlink" Target="https://doi.org/10.3390/ijms242316656" TargetMode="External"/><Relationship Id="rId44" Type="http://schemas.openxmlformats.org/officeDocument/2006/relationships/hyperlink" Target="https://doi.org/10.1016/s0168-1923(03)00161-8" TargetMode="External"/><Relationship Id="rId65" Type="http://schemas.openxmlformats.org/officeDocument/2006/relationships/hyperlink" Target="https://doi.org/10.1016/j.agwat.2014.04.017" TargetMode="External"/><Relationship Id="rId86" Type="http://schemas.openxmlformats.org/officeDocument/2006/relationships/hyperlink" Target="https://doi.org/10.1016/j.tplants.2008.11.001" TargetMode="External"/><Relationship Id="rId130" Type="http://schemas.openxmlformats.org/officeDocument/2006/relationships/hyperlink" Target="https://doi.org/10.1016/j.agwat.2015.11.017" TargetMode="External"/><Relationship Id="rId151" Type="http://schemas.openxmlformats.org/officeDocument/2006/relationships/hyperlink" Target="https://doi.org/10.3390/app10093092" TargetMode="External"/><Relationship Id="rId172" Type="http://schemas.openxmlformats.org/officeDocument/2006/relationships/hyperlink" Target="https://doi.org/10.1038/s43017-024-00521-5" TargetMode="External"/><Relationship Id="rId193" Type="http://schemas.openxmlformats.org/officeDocument/2006/relationships/fontTable" Target="fontTable.xml"/><Relationship Id="rId13" Type="http://schemas.openxmlformats.org/officeDocument/2006/relationships/image" Target="media/image2.png"/><Relationship Id="rId109" Type="http://schemas.openxmlformats.org/officeDocument/2006/relationships/hyperlink" Target="https://doi.org/10.1007/s00484-010-0352-y" TargetMode="External"/><Relationship Id="rId34" Type="http://schemas.openxmlformats.org/officeDocument/2006/relationships/hyperlink" Target="https://doi.org/10.1016/j.scienta.2011.07.011" TargetMode="External"/><Relationship Id="rId50" Type="http://schemas.openxmlformats.org/officeDocument/2006/relationships/hyperlink" Target="https://doi.org/10.1093/jxb/eraa186" TargetMode="External"/><Relationship Id="rId55" Type="http://schemas.openxmlformats.org/officeDocument/2006/relationships/hyperlink" Target="https://doi.org/10.1016/j.agwat.2017.03.008" TargetMode="External"/><Relationship Id="rId76" Type="http://schemas.openxmlformats.org/officeDocument/2006/relationships/hyperlink" Target="https://doi.org/10.3389/fpls.2020.604691" TargetMode="External"/><Relationship Id="rId97" Type="http://schemas.openxmlformats.org/officeDocument/2006/relationships/hyperlink" Target="https://doi.org/10.1371/journal.pone.0036674" TargetMode="External"/><Relationship Id="rId104" Type="http://schemas.openxmlformats.org/officeDocument/2006/relationships/hyperlink" Target="https://doi.org/10.3389/fpls.2017.01418" TargetMode="External"/><Relationship Id="rId120" Type="http://schemas.openxmlformats.org/officeDocument/2006/relationships/hyperlink" Target="https://doi.org/10.21273/jashs.117.4.607" TargetMode="External"/><Relationship Id="rId125" Type="http://schemas.openxmlformats.org/officeDocument/2006/relationships/hyperlink" Target="https://doi.org/10.1073/pnas.1906731117" TargetMode="External"/><Relationship Id="rId141" Type="http://schemas.openxmlformats.org/officeDocument/2006/relationships/hyperlink" Target="https://doi.org/10.5194/nhess-19-1087-2019" TargetMode="External"/><Relationship Id="rId146" Type="http://schemas.openxmlformats.org/officeDocument/2006/relationships/hyperlink" Target="https://doi.org/10.5424/sjar/201008s2-1343" TargetMode="External"/><Relationship Id="rId167" Type="http://schemas.openxmlformats.org/officeDocument/2006/relationships/hyperlink" Target="https://doi.org/10.1038/s41467-024-50549-w" TargetMode="External"/><Relationship Id="rId188" Type="http://schemas.openxmlformats.org/officeDocument/2006/relationships/hyperlink" Target="https://doi.org/10.1093/plphys/kiad291" TargetMode="External"/><Relationship Id="rId7" Type="http://schemas.openxmlformats.org/officeDocument/2006/relationships/image" Target="media/image1.jpg"/><Relationship Id="rId71" Type="http://schemas.openxmlformats.org/officeDocument/2006/relationships/hyperlink" Target="https://doi.org/10.1007/s10584-018-2337-5" TargetMode="External"/><Relationship Id="rId92" Type="http://schemas.openxmlformats.org/officeDocument/2006/relationships/hyperlink" Target="https://doi.org/10.1093/hr/uhac028" TargetMode="External"/><Relationship Id="rId162" Type="http://schemas.openxmlformats.org/officeDocument/2006/relationships/hyperlink" Target="https://doi.org/10.4300/jgme-d-22-00480.1" TargetMode="External"/><Relationship Id="rId183" Type="http://schemas.openxmlformats.org/officeDocument/2006/relationships/hyperlink" Target="https://doi.org/10.1038/s41558-017-0016-6" TargetMode="External"/><Relationship Id="rId2" Type="http://schemas.openxmlformats.org/officeDocument/2006/relationships/styles" Target="styles.xml"/><Relationship Id="rId29" Type="http://schemas.openxmlformats.org/officeDocument/2006/relationships/hyperlink" Target="https://doi.org/10.1016/j.agrformet.2023.109312" TargetMode="External"/><Relationship Id="rId24" Type="http://schemas.openxmlformats.org/officeDocument/2006/relationships/hyperlink" Target="https://doi.org/10.4067/s0718-58392012000400018" TargetMode="External"/><Relationship Id="rId40" Type="http://schemas.openxmlformats.org/officeDocument/2006/relationships/hyperlink" Target="https://doi.org/10.21273/jashs.106.3.307" TargetMode="External"/><Relationship Id="rId45" Type="http://schemas.openxmlformats.org/officeDocument/2006/relationships/hyperlink" Target="https://doi.org/10.1093/jxb/erm281" TargetMode="External"/><Relationship Id="rId66" Type="http://schemas.openxmlformats.org/officeDocument/2006/relationships/hyperlink" Target="https://doi.org/10.3390/horticulturae3020035" TargetMode="External"/><Relationship Id="rId87" Type="http://schemas.openxmlformats.org/officeDocument/2006/relationships/hyperlink" Target="https://doi.org/10.1186/s12870-014-0273-8" TargetMode="External"/><Relationship Id="rId110" Type="http://schemas.openxmlformats.org/officeDocument/2006/relationships/hyperlink" Target="https://doi.org/10.1371/journal.pone.0020155" TargetMode="External"/><Relationship Id="rId115" Type="http://schemas.openxmlformats.org/officeDocument/2006/relationships/hyperlink" Target="https://doi.org/10.3389/fpls.2016.01904" TargetMode="External"/><Relationship Id="rId131" Type="http://schemas.openxmlformats.org/officeDocument/2006/relationships/hyperlink" Target="https://doi.org/10.1016/j.still.2020.104896" TargetMode="External"/><Relationship Id="rId136" Type="http://schemas.openxmlformats.org/officeDocument/2006/relationships/hyperlink" Target="https://doi.org/10.21273/hortsci.43.6.1652" TargetMode="External"/><Relationship Id="rId157" Type="http://schemas.openxmlformats.org/officeDocument/2006/relationships/hyperlink" Target="https://doi.org/10.1093/jexbot/51.350.1627" TargetMode="External"/><Relationship Id="rId178" Type="http://schemas.openxmlformats.org/officeDocument/2006/relationships/hyperlink" Target="https://doi.org/10.3390/su14159264" TargetMode="External"/><Relationship Id="rId61" Type="http://schemas.openxmlformats.org/officeDocument/2006/relationships/hyperlink" Target="https://doi.org/10.1111/j.1469-8137.2009.03119.x" TargetMode="External"/><Relationship Id="rId82" Type="http://schemas.openxmlformats.org/officeDocument/2006/relationships/hyperlink" Target="https://doi.org/10.1007/s11119-013-9322-9" TargetMode="External"/><Relationship Id="rId152" Type="http://schemas.openxmlformats.org/officeDocument/2006/relationships/hyperlink" Target="https://doi.org/10.1111/ajgw.12054" TargetMode="External"/><Relationship Id="rId173" Type="http://schemas.openxmlformats.org/officeDocument/2006/relationships/hyperlink" Target="https://doi.org/10.1038/ng.654" TargetMode="External"/><Relationship Id="rId194" Type="http://schemas.openxmlformats.org/officeDocument/2006/relationships/theme" Target="theme/theme1.xml"/><Relationship Id="rId19" Type="http://schemas.openxmlformats.org/officeDocument/2006/relationships/hyperlink" Target="https://doi.org/10.1016/j.scienta.2025.113992" TargetMode="External"/><Relationship Id="rId14" Type="http://schemas.openxmlformats.org/officeDocument/2006/relationships/hyperlink" Target="https://doi.org/10.1016/j.scienta.2019.108629" TargetMode="External"/><Relationship Id="rId30" Type="http://schemas.openxmlformats.org/officeDocument/2006/relationships/hyperlink" Target="https://doi.org/10.1007/s00484-014-0893-6" TargetMode="External"/><Relationship Id="rId35" Type="http://schemas.openxmlformats.org/officeDocument/2006/relationships/hyperlink" Target="https://doi.org/10.3390/horticulturae10050516" TargetMode="External"/><Relationship Id="rId56" Type="http://schemas.openxmlformats.org/officeDocument/2006/relationships/hyperlink" Target="https://doi.org/10.1016/j.scitotenv.2018.06.108" TargetMode="External"/><Relationship Id="rId77" Type="http://schemas.openxmlformats.org/officeDocument/2006/relationships/hyperlink" Target="https://doi.org/10.21273/jashs.131.1.24" TargetMode="External"/><Relationship Id="rId100" Type="http://schemas.openxmlformats.org/officeDocument/2006/relationships/hyperlink" Target="https://doi.org/10.1007/s00484-012-0551-9" TargetMode="External"/><Relationship Id="rId105" Type="http://schemas.openxmlformats.org/officeDocument/2006/relationships/hyperlink" Target="https://doi.org/10.1038/nclimate2437" TargetMode="External"/><Relationship Id="rId126" Type="http://schemas.openxmlformats.org/officeDocument/2006/relationships/hyperlink" Target="https://doi.org/10.1007/s00271-011-0275-3" TargetMode="External"/><Relationship Id="rId147" Type="http://schemas.openxmlformats.org/officeDocument/2006/relationships/hyperlink" Target="https://doi.org/10.1111/j.1755-0238.2012.00180.x" TargetMode="External"/><Relationship Id="rId168" Type="http://schemas.openxmlformats.org/officeDocument/2006/relationships/hyperlink" Target="https://doi.org/10.1016/j.agwat.2021.106897" TargetMode="External"/><Relationship Id="rId8" Type="http://schemas.openxmlformats.org/officeDocument/2006/relationships/hyperlink" Target="https://doi.org/10.9734/jabb/2026/v29i114622" TargetMode="External"/><Relationship Id="rId51" Type="http://schemas.openxmlformats.org/officeDocument/2006/relationships/hyperlink" Target="https://doi.org/10.1016/j.agwat.2008.09.013" TargetMode="External"/><Relationship Id="rId72" Type="http://schemas.openxmlformats.org/officeDocument/2006/relationships/hyperlink" Target="https://doi.org/10.1016/j.agwat.2020.106193" TargetMode="External"/><Relationship Id="rId93" Type="http://schemas.openxmlformats.org/officeDocument/2006/relationships/hyperlink" Target="https://doi.org/10.1038/s41438-020-00408-8" TargetMode="External"/><Relationship Id="rId98" Type="http://schemas.openxmlformats.org/officeDocument/2006/relationships/hyperlink" Target="https://doi.org/10.3390/horticulturae8121207" TargetMode="External"/><Relationship Id="rId121" Type="http://schemas.openxmlformats.org/officeDocument/2006/relationships/hyperlink" Target="https://doi.org/10.1016/j.scienta.2019.108556" TargetMode="External"/><Relationship Id="rId142" Type="http://schemas.openxmlformats.org/officeDocument/2006/relationships/hyperlink" Target="https://doi.org/10.1016/j.scienta.2025.114167" TargetMode="External"/><Relationship Id="rId163" Type="http://schemas.openxmlformats.org/officeDocument/2006/relationships/hyperlink" Target="https://doi.org/10.1093/hr/uhae244" TargetMode="External"/><Relationship Id="rId184" Type="http://schemas.openxmlformats.org/officeDocument/2006/relationships/hyperlink" Target="https://doi.org/10.1093/jxb/err028" TargetMode="External"/><Relationship Id="rId189" Type="http://schemas.openxmlformats.org/officeDocument/2006/relationships/hyperlink" Target="https://doi.org/10.1111/ajgw.12487" TargetMode="External"/><Relationship Id="rId3" Type="http://schemas.openxmlformats.org/officeDocument/2006/relationships/settings" Target="settings.xml"/><Relationship Id="rId25" Type="http://schemas.openxmlformats.org/officeDocument/2006/relationships/hyperlink" Target="https://doi.org/10.3389/fpls.2018.00657" TargetMode="External"/><Relationship Id="rId46" Type="http://schemas.openxmlformats.org/officeDocument/2006/relationships/hyperlink" Target="https://doi.org/10.1093/treephys/27.1.81" TargetMode="External"/><Relationship Id="rId67" Type="http://schemas.openxmlformats.org/officeDocument/2006/relationships/hyperlink" Target="https://doi.org/10.3389/fpls.2023.1162506" TargetMode="External"/><Relationship Id="rId116" Type="http://schemas.openxmlformats.org/officeDocument/2006/relationships/hyperlink" Target="https://doi.org/10.1016/j.scienta.2018.10.050" TargetMode="External"/><Relationship Id="rId137" Type="http://schemas.openxmlformats.org/officeDocument/2006/relationships/hyperlink" Target="https://doi.org/10.1088/1748-9326/ad90f4" TargetMode="External"/><Relationship Id="rId158" Type="http://schemas.openxmlformats.org/officeDocument/2006/relationships/hyperlink" Target="https://doi.org/10.2503/hortj.SZD-R004" TargetMode="External"/><Relationship Id="rId20" Type="http://schemas.openxmlformats.org/officeDocument/2006/relationships/hyperlink" Target="https://doi.org/10.3390/agronomy11101961" TargetMode="External"/><Relationship Id="rId41" Type="http://schemas.openxmlformats.org/officeDocument/2006/relationships/hyperlink" Target="https://doi.org/10.1126/sciadv.aao6969" TargetMode="External"/><Relationship Id="rId62" Type="http://schemas.openxmlformats.org/officeDocument/2006/relationships/hyperlink" Target="https://doi.org/10.1093/jxb/erl165" TargetMode="External"/><Relationship Id="rId83" Type="http://schemas.openxmlformats.org/officeDocument/2006/relationships/hyperlink" Target="https://doi.org/10.1111/eci.12931" TargetMode="External"/><Relationship Id="rId88" Type="http://schemas.openxmlformats.org/officeDocument/2006/relationships/hyperlink" Target="https://doi.org/10.1038/s43016-020-0043-8" TargetMode="External"/><Relationship Id="rId111" Type="http://schemas.openxmlformats.org/officeDocument/2006/relationships/hyperlink" Target="https://doi.org/10.1016/j.agrformet.2021.108491" TargetMode="External"/><Relationship Id="rId132" Type="http://schemas.openxmlformats.org/officeDocument/2006/relationships/hyperlink" Target="https://doi.org/10.1016/j.agwat.2019.105897" TargetMode="External"/><Relationship Id="rId153" Type="http://schemas.openxmlformats.org/officeDocument/2006/relationships/hyperlink" Target="https://doi.org/10.1111/gcb.16493" TargetMode="External"/><Relationship Id="rId174" Type="http://schemas.openxmlformats.org/officeDocument/2006/relationships/hyperlink" Target="https://doi.org/10.3390/plants9121754" TargetMode="External"/><Relationship Id="rId179" Type="http://schemas.openxmlformats.org/officeDocument/2006/relationships/hyperlink" Target="https://doi.org/10.5751/es-00650-090205" TargetMode="External"/><Relationship Id="rId190" Type="http://schemas.openxmlformats.org/officeDocument/2006/relationships/hyperlink" Target="https://doi.org/10.1038/s41438-020-0336-y" TargetMode="External"/><Relationship Id="rId15" Type="http://schemas.openxmlformats.org/officeDocument/2006/relationships/hyperlink" Target="https://doi.org/10.1093/jxb/erv027" TargetMode="External"/><Relationship Id="rId36" Type="http://schemas.openxmlformats.org/officeDocument/2006/relationships/hyperlink" Target="https://doi.org/10.1093/jxb/eraf460" TargetMode="External"/><Relationship Id="rId57" Type="http://schemas.openxmlformats.org/officeDocument/2006/relationships/hyperlink" Target="https://doi.org/10.1016/j.agwat.2018.10.033" TargetMode="External"/><Relationship Id="rId106" Type="http://schemas.openxmlformats.org/officeDocument/2006/relationships/hyperlink" Target="https://doi.org/10.1007/s10584-011-0303-6" TargetMode="External"/><Relationship Id="rId127" Type="http://schemas.openxmlformats.org/officeDocument/2006/relationships/hyperlink" Target="https://doi.org/10.1016/j.scienta.2018.03.014" TargetMode="External"/><Relationship Id="rId10" Type="http://schemas.openxmlformats.org/officeDocument/2006/relationships/header" Target="header1.xml"/><Relationship Id="rId31" Type="http://schemas.openxmlformats.org/officeDocument/2006/relationships/hyperlink" Target="https://doi.org/10.3390/plants10122578" TargetMode="External"/><Relationship Id="rId52" Type="http://schemas.openxmlformats.org/officeDocument/2006/relationships/hyperlink" Target="https://doi.org/10.1017/S0014479726100349" TargetMode="External"/><Relationship Id="rId73" Type="http://schemas.openxmlformats.org/officeDocument/2006/relationships/hyperlink" Target="https://doi.org/10.1371/journal.pone.0120563" TargetMode="External"/><Relationship Id="rId78" Type="http://schemas.openxmlformats.org/officeDocument/2006/relationships/hyperlink" Target="https://doi.org/10.1038/s43016-026-01333-0" TargetMode="External"/><Relationship Id="rId94" Type="http://schemas.openxmlformats.org/officeDocument/2006/relationships/hyperlink" Target="https://doi.org/10.1016/j.agrformet.2017.01.016" TargetMode="External"/><Relationship Id="rId99" Type="http://schemas.openxmlformats.org/officeDocument/2006/relationships/hyperlink" Target="https://doi.org/10.1038/s41438-018-0016-3" TargetMode="External"/><Relationship Id="rId101" Type="http://schemas.openxmlformats.org/officeDocument/2006/relationships/hyperlink" Target="https://doi.org/10.3389/fpls.2015.01054" TargetMode="External"/><Relationship Id="rId122" Type="http://schemas.openxmlformats.org/officeDocument/2006/relationships/hyperlink" Target="https://doi.org/10.3390/horticulturae8040273" TargetMode="External"/><Relationship Id="rId143" Type="http://schemas.openxmlformats.org/officeDocument/2006/relationships/hyperlink" Target="https://doi.org/10.1093/aob/mcl100" TargetMode="External"/><Relationship Id="rId148" Type="http://schemas.openxmlformats.org/officeDocument/2006/relationships/hyperlink" Target="https://doi.org/10.1371/journal.pone.0235041" TargetMode="External"/><Relationship Id="rId164" Type="http://schemas.openxmlformats.org/officeDocument/2006/relationships/hyperlink" Target="https://doi.org/10.1093/aob/mcp281" TargetMode="External"/><Relationship Id="rId169" Type="http://schemas.openxmlformats.org/officeDocument/2006/relationships/hyperlink" Target="https://doi.org/10.1371/journal.pone.0200201" TargetMode="External"/><Relationship Id="rId185" Type="http://schemas.openxmlformats.org/officeDocument/2006/relationships/hyperlink" Target="https://doi.org/10.1186/s12870-015-0626-y" TargetMode="External"/><Relationship Id="rId4" Type="http://schemas.openxmlformats.org/officeDocument/2006/relationships/webSettings" Target="webSettings.xml"/><Relationship Id="rId9" Type="http://schemas.openxmlformats.org/officeDocument/2006/relationships/hyperlink" Target="https://pr.sdiarticle5.com/review-history/168781" TargetMode="External"/><Relationship Id="rId180" Type="http://schemas.openxmlformats.org/officeDocument/2006/relationships/hyperlink" Target="https://doi.org/10.1016/j.hpj.2019.06.001" TargetMode="External"/><Relationship Id="rId26" Type="http://schemas.openxmlformats.org/officeDocument/2006/relationships/hyperlink" Target="https://doi.org/10.1007/s11295-007-0126-9" TargetMode="External"/><Relationship Id="rId47" Type="http://schemas.openxmlformats.org/officeDocument/2006/relationships/hyperlink" Target="https://doi.org/10.1111/nph.71352" TargetMode="External"/><Relationship Id="rId68" Type="http://schemas.openxmlformats.org/officeDocument/2006/relationships/hyperlink" Target="https://doi.org/10.1111/j.1469-8137.2011.03813.x" TargetMode="External"/><Relationship Id="rId89" Type="http://schemas.openxmlformats.org/officeDocument/2006/relationships/hyperlink" Target="https://doi.org/10.1270/jsbbs.66.100" TargetMode="External"/><Relationship Id="rId112" Type="http://schemas.openxmlformats.org/officeDocument/2006/relationships/hyperlink" Target="https://doi.org/10.1371/journal.pone.0006166" TargetMode="External"/><Relationship Id="rId133" Type="http://schemas.openxmlformats.org/officeDocument/2006/relationships/hyperlink" Target="https://doi.org/10.3389/fpls.2024.1352169" TargetMode="External"/><Relationship Id="rId154" Type="http://schemas.openxmlformats.org/officeDocument/2006/relationships/hyperlink" Target="https://doi.org/10.6090/jarq.50.301" TargetMode="External"/><Relationship Id="rId175" Type="http://schemas.openxmlformats.org/officeDocument/2006/relationships/hyperlink" Target="https://doi.org/10.3389/fpls.2014.00541" TargetMode="External"/><Relationship Id="rId16" Type="http://schemas.openxmlformats.org/officeDocument/2006/relationships/hyperlink" Target="https://doi.org/10.1002/brv.70186" TargetMode="External"/><Relationship Id="rId37" Type="http://schemas.openxmlformats.org/officeDocument/2006/relationships/hyperlink" Target="https://doi.org/10.1016/j.agrformet.2025.110824" TargetMode="External"/><Relationship Id="rId58" Type="http://schemas.openxmlformats.org/officeDocument/2006/relationships/hyperlink" Target="https://doi.org/10.3390/agronomy10030409" TargetMode="External"/><Relationship Id="rId79" Type="http://schemas.openxmlformats.org/officeDocument/2006/relationships/hyperlink" Target="https://doi.org/10.21273/hortsci.40.3.592" TargetMode="External"/><Relationship Id="rId102" Type="http://schemas.openxmlformats.org/officeDocument/2006/relationships/hyperlink" Target="https://doi.org/10.48130/frures-2023-0023" TargetMode="External"/><Relationship Id="rId123" Type="http://schemas.openxmlformats.org/officeDocument/2006/relationships/hyperlink" Target="https://doi.org/10.1038/s41438-019-0146-2" TargetMode="External"/><Relationship Id="rId144" Type="http://schemas.openxmlformats.org/officeDocument/2006/relationships/hyperlink" Target="https://doi.org/10.1007/s11295-015-0834-5" TargetMode="External"/><Relationship Id="rId90" Type="http://schemas.openxmlformats.org/officeDocument/2006/relationships/hyperlink" Target="https://doi.org/10.1016/j.scienta.2022.111434" TargetMode="External"/><Relationship Id="rId165" Type="http://schemas.openxmlformats.org/officeDocument/2006/relationships/hyperlink" Target="https://doi.org/10.3389/fpls.2021.787638" TargetMode="External"/><Relationship Id="rId186" Type="http://schemas.openxmlformats.org/officeDocument/2006/relationships/hyperlink" Target="https://doi.org/10.1186/s12870-016-0791-7" TargetMode="External"/><Relationship Id="rId27" Type="http://schemas.openxmlformats.org/officeDocument/2006/relationships/hyperlink" Target="https://doi.org/10.3389/fpls.2024.1393028" TargetMode="External"/><Relationship Id="rId48" Type="http://schemas.openxmlformats.org/officeDocument/2006/relationships/hyperlink" Target="https://doi.org/10.1111/pce.15126" TargetMode="External"/><Relationship Id="rId69" Type="http://schemas.openxmlformats.org/officeDocument/2006/relationships/hyperlink" Target="https://doi.org/10.21273/jashs03919-16" TargetMode="External"/><Relationship Id="rId113" Type="http://schemas.openxmlformats.org/officeDocument/2006/relationships/hyperlink" Target="https://doi.org/10.21273/hortsci.40.7.1947" TargetMode="External"/><Relationship Id="rId134" Type="http://schemas.openxmlformats.org/officeDocument/2006/relationships/hyperlink" Target="https://doi.org/10.1007/s10584-019-02570-y" TargetMode="External"/><Relationship Id="rId80" Type="http://schemas.openxmlformats.org/officeDocument/2006/relationships/hyperlink" Target="https://doi.org/10.21273/hortsci.47.6.710" TargetMode="External"/><Relationship Id="rId155" Type="http://schemas.openxmlformats.org/officeDocument/2006/relationships/hyperlink" Target="https://doi.org/10.1093/treephys/26.10.1343" TargetMode="External"/><Relationship Id="rId176" Type="http://schemas.openxmlformats.org/officeDocument/2006/relationships/hyperlink" Target="https://doi.org/10.1007/s10584-018-2234-y" TargetMode="External"/><Relationship Id="rId17" Type="http://schemas.openxmlformats.org/officeDocument/2006/relationships/hyperlink" Target="https://doi.org/10.1093/jxb/erw130" TargetMode="External"/><Relationship Id="rId38" Type="http://schemas.openxmlformats.org/officeDocument/2006/relationships/hyperlink" Target="https://doi.org/10.1111/j.1469-8137.2011.03823.x" TargetMode="External"/><Relationship Id="rId59" Type="http://schemas.openxmlformats.org/officeDocument/2006/relationships/hyperlink" Target="https://doi.org/10.3389/fpls.2018.01990" TargetMode="External"/><Relationship Id="rId103" Type="http://schemas.openxmlformats.org/officeDocument/2006/relationships/hyperlink" Target="https://doi.org/10.1016/j.agwat.2021.106936" TargetMode="External"/><Relationship Id="rId124" Type="http://schemas.openxmlformats.org/officeDocument/2006/relationships/hyperlink" Target="https://doi.org/10.1007/s00271-021-00720-8" TargetMode="External"/><Relationship Id="rId70" Type="http://schemas.openxmlformats.org/officeDocument/2006/relationships/hyperlink" Target="https://doi.org/10.3390/agronomy11010056" TargetMode="External"/><Relationship Id="rId91" Type="http://schemas.openxmlformats.org/officeDocument/2006/relationships/hyperlink" Target="https://doi.org/10.1186/s12870-025-06104-w" TargetMode="External"/><Relationship Id="rId145" Type="http://schemas.openxmlformats.org/officeDocument/2006/relationships/hyperlink" Target="https://doi.org/10.3389/fpls.2021.712162" TargetMode="External"/><Relationship Id="rId166" Type="http://schemas.openxmlformats.org/officeDocument/2006/relationships/hyperlink" Target="https://doi.org/10.1007/s00122-022-04077-0" TargetMode="External"/><Relationship Id="rId187" Type="http://schemas.openxmlformats.org/officeDocument/2006/relationships/hyperlink" Target="https://doi.org/10.1007/s40626-016-0070-x" TargetMode="External"/><Relationship Id="rId1" Type="http://schemas.openxmlformats.org/officeDocument/2006/relationships/numbering" Target="numbering.xml"/><Relationship Id="rId28" Type="http://schemas.openxmlformats.org/officeDocument/2006/relationships/hyperlink" Target="https://doi.org/10.1016/j.scienta.2019.02.016" TargetMode="External"/><Relationship Id="rId49" Type="http://schemas.openxmlformats.org/officeDocument/2006/relationships/hyperlink" Target="https://doi.org/10.1038/s41598-020-64806-7" TargetMode="External"/><Relationship Id="rId114" Type="http://schemas.openxmlformats.org/officeDocument/2006/relationships/hyperlink" Target="https://doi.org/10.3390/agronomy14040722" TargetMode="External"/><Relationship Id="rId60" Type="http://schemas.openxmlformats.org/officeDocument/2006/relationships/hyperlink" Target="https://doi.org/10.21273/hortsci.48.5.588" TargetMode="External"/><Relationship Id="rId81" Type="http://schemas.openxmlformats.org/officeDocument/2006/relationships/hyperlink" Target="https://doi.org/10.1007/s00271-018-0579-7" TargetMode="External"/><Relationship Id="rId135" Type="http://schemas.openxmlformats.org/officeDocument/2006/relationships/hyperlink" Target="https://doi.org/10.3390/horticulturae9010109" TargetMode="External"/><Relationship Id="rId156" Type="http://schemas.openxmlformats.org/officeDocument/2006/relationships/hyperlink" Target="https://www.fao.org/4/i2800e/i2800e00.htm" TargetMode="External"/><Relationship Id="rId177" Type="http://schemas.openxmlformats.org/officeDocument/2006/relationships/hyperlink" Target="https://doi.org/10.1016/j.agrformet.2017.09.005" TargetMode="External"/><Relationship Id="rId18" Type="http://schemas.openxmlformats.org/officeDocument/2006/relationships/hyperlink" Target="https://doi.org/10.1111/pce.12021" TargetMode="External"/><Relationship Id="rId39" Type="http://schemas.openxmlformats.org/officeDocument/2006/relationships/hyperlink" Target="https://doi.org/10.1007/s13593-015-033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30</Pages>
  <Words>27681</Words>
  <Characters>157783</Characters>
  <Application>Microsoft Office Word</Application>
  <DocSecurity>0</DocSecurity>
  <Lines>1314</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SDI PC 1175</dc:creator>
  <cp:lastModifiedBy>SDI 1137</cp:lastModifiedBy>
  <cp:revision>6</cp:revision>
  <dcterms:created xsi:type="dcterms:W3CDTF">2026-10-30T07:23:00Z</dcterms:created>
  <dcterms:modified xsi:type="dcterms:W3CDTF">2026-10-30T08:16:00Z</dcterms:modified>
</cp:coreProperties>
</file>